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fhb-20260724x8k.htm"/>
      <w:bookmarkStart w:id="1" w:name="ksfhb20260724x8k"/>
      <w:bookmarkEnd w:id="0"/>
      <w:bookmarkEnd w:id="1"/>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bookmarkStart w:id="2" w:name="_d8faf3f5_ec1f_4ba7_811b_144488c044a8"/>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July 24, 2026</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FIRST HAWAIIAN,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u47CarbR2kqOJPgvZEQVvw_2_0"/>
      <w:bookmarkStart w:id="4" w:name="_aee77ee9_dafa_46d3_b28d_951ddef283c3"/>
      <w:bookmarkStart w:id="5" w:name="Tc_u47CarbR2kqOJPgvZEQVvw_2_0"/>
      <w:bookmarkStart w:id="6" w:name="_aee77ee9_dafa_46d3_b28d_951ddef283c3"/>
      <w:bookmarkEnd w:id="5"/>
      <w:bookmarkEnd w:id="6"/>
    </w:p>
    <w:tbl>
      <w:tblPr>
        <w:tblW w:w="3455" w:type="dxa"/>
        <w:jc w:val="left"/>
        <w:tblInd w:w="0" w:type="dxa"/>
        <w:tblLayout w:type="fixed"/>
        <w:tblCellMar>
          <w:top w:w="0" w:type="dxa"/>
          <w:left w:w="0" w:type="dxa"/>
          <w:bottom w:w="0" w:type="dxa"/>
          <w:right w:w="0" w:type="dxa"/>
        </w:tblCellMar>
      </w:tblPr>
      <w:tblGrid>
        <w:gridCol w:w="3301"/>
        <w:gridCol w:w="154"/>
      </w:tblGrid>
      <w:tr>
        <w:trPr/>
        <w:tc>
          <w:tcPr>
            <w:tcW w:w="330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7790" cy="175260"/>
                      <wp:effectExtent l="0" t="0" r="0" b="0"/>
                      <wp:wrapNone/>
                      <wp:docPr id="1" name="Frame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8G7q0bLE2Eqx-VzTAzX51Q_2_2"/>
      <w:bookmarkStart w:id="8" w:name="Tc_vPj6Pw-G_kOPT00rPdV0vw_2_0"/>
      <w:bookmarkStart w:id="9" w:name="_88523b24_2e6f_4540_b105_78119031669a"/>
      <w:bookmarkStart w:id="10" w:name="Tc_8G7q0bLE2Eqx-VzTAzX51Q_2_2"/>
      <w:bookmarkStart w:id="11" w:name="Tc_vPj6Pw-G_kOPT00rPdV0vw_2_0"/>
      <w:bookmarkStart w:id="12" w:name="_88523b24_2e6f_4540_b105_78119031669a"/>
      <w:bookmarkEnd w:id="10"/>
      <w:bookmarkEnd w:id="11"/>
      <w:bookmarkEnd w:id="12"/>
    </w:p>
    <w:tbl>
      <w:tblPr>
        <w:tblW w:w="4776" w:type="dxa"/>
        <w:jc w:val="left"/>
        <w:tblInd w:w="0" w:type="dxa"/>
        <w:tblLayout w:type="fixed"/>
        <w:tblCellMar>
          <w:top w:w="0" w:type="dxa"/>
          <w:left w:w="0" w:type="dxa"/>
          <w:bottom w:w="0" w:type="dxa"/>
          <w:right w:w="0" w:type="dxa"/>
        </w:tblCellMar>
      </w:tblPr>
      <w:tblGrid>
        <w:gridCol w:w="2086"/>
        <w:gridCol w:w="109"/>
        <w:gridCol w:w="2581"/>
      </w:tblGrid>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1"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001-14585</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99-0156159</w:t>
            </w:r>
          </w:p>
        </w:tc>
      </w:tr>
      <w:tr>
        <w:trPr/>
        <w:tc>
          <w:tcPr>
            <w:tcW w:w="20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T9Ml1PBxi0SJZonlE1o5rA_3_2"/>
      <w:bookmarkStart w:id="14" w:name="Tc_L4H6cu2mtkGNGC0bhaYIOw_3_0"/>
      <w:bookmarkStart w:id="15" w:name="Tc_pTqfTIwliE6pihoY1GKlpw_2_0"/>
      <w:bookmarkStart w:id="16" w:name="Tc_1VwRIOBbJUSV-xUHnCiW2A_1_0"/>
      <w:bookmarkStart w:id="17" w:name="_d9680f8d_8da4_40ff_a3b5_0b0bf0e1fd86"/>
      <w:bookmarkStart w:id="18" w:name="Tc_T9Ml1PBxi0SJZonlE1o5rA_3_2"/>
      <w:bookmarkStart w:id="19" w:name="Tc_L4H6cu2mtkGNGC0bhaYIOw_3_0"/>
      <w:bookmarkStart w:id="20" w:name="Tc_pTqfTIwliE6pihoY1GKlpw_2_0"/>
      <w:bookmarkStart w:id="21" w:name="Tc_1VwRIOBbJUSV-xUHnCiW2A_1_0"/>
      <w:bookmarkStart w:id="22" w:name="_d9680f8d_8da4_40ff_a3b5_0b0bf0e1fd86"/>
      <w:bookmarkEnd w:id="18"/>
      <w:bookmarkEnd w:id="19"/>
      <w:bookmarkEnd w:id="20"/>
      <w:bookmarkEnd w:id="21"/>
      <w:bookmarkEnd w:id="22"/>
    </w:p>
    <w:tbl>
      <w:tblPr>
        <w:tblW w:w="4056" w:type="dxa"/>
        <w:jc w:val="left"/>
        <w:tblInd w:w="0" w:type="dxa"/>
        <w:tblLayout w:type="fixed"/>
        <w:tblCellMar>
          <w:top w:w="0" w:type="dxa"/>
          <w:left w:w="0" w:type="dxa"/>
          <w:bottom w:w="0" w:type="dxa"/>
          <w:right w:w="0" w:type="dxa"/>
        </w:tblCellMar>
      </w:tblPr>
      <w:tblGrid>
        <w:gridCol w:w="3016"/>
        <w:gridCol w:w="109"/>
        <w:gridCol w:w="931"/>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999 Bishop St., 29th Floor</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Honolulu, Hawaii</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96813</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(808) 525-7000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firstLine="345"/>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NSwKeLAYw0e8s-gcKoY3Hg_1_2"/>
      <w:bookmarkStart w:id="24" w:name="Tc_UNGt9JmZWUWZueoLoql6CQ_1_0"/>
      <w:bookmarkStart w:id="25" w:name="Tc_Jd2tFN67ck2pq-v7Td1U-w_0_2"/>
      <w:bookmarkStart w:id="26" w:name="Tc_xMKNVivBdkSaAiBA74q5MQ_0_1"/>
      <w:bookmarkStart w:id="27" w:name="Tc_-FGppM_Z8k2mjvFUBXRkmA_0_0"/>
      <w:bookmarkStart w:id="28" w:name="_d75cd6b8_b6af_4cbe_8e55_e5342e7b7c60"/>
      <w:bookmarkStart w:id="29" w:name="Tc_NSwKeLAYw0e8s-gcKoY3Hg_1_2"/>
      <w:bookmarkStart w:id="30" w:name="Tc_UNGt9JmZWUWZueoLoql6CQ_1_0"/>
      <w:bookmarkStart w:id="31" w:name="Tc_Jd2tFN67ck2pq-v7Td1U-w_0_2"/>
      <w:bookmarkStart w:id="32" w:name="Tc_xMKNVivBdkSaAiBA74q5MQ_0_1"/>
      <w:bookmarkStart w:id="33" w:name="Tc_-FGppM_Z8k2mjvFUBXRkmA_0_0"/>
      <w:bookmarkStart w:id="34" w:name="_d75cd6b8_b6af_4cbe_8e55_e5342e7b7c60"/>
      <w:bookmarkEnd w:id="29"/>
      <w:bookmarkEnd w:id="30"/>
      <w:bookmarkEnd w:id="31"/>
      <w:bookmarkEnd w:id="32"/>
      <w:bookmarkEnd w:id="33"/>
      <w:bookmarkEnd w:id="34"/>
    </w:p>
    <w:tbl>
      <w:tblPr>
        <w:tblW w:w="8208" w:type="dxa"/>
        <w:jc w:val="left"/>
        <w:tblInd w:w="0" w:type="dxa"/>
        <w:tblLayout w:type="fixed"/>
        <w:tblCellMar>
          <w:top w:w="0" w:type="dxa"/>
          <w:left w:w="0" w:type="dxa"/>
          <w:bottom w:w="0" w:type="dxa"/>
          <w:right w:w="0" w:type="dxa"/>
        </w:tblCellMar>
      </w:tblPr>
      <w:tblGrid>
        <w:gridCol w:w="3106"/>
        <w:gridCol w:w="1561"/>
        <w:gridCol w:w="3541"/>
      </w:tblGrid>
      <w:tr>
        <w:trPr/>
        <w:tc>
          <w:tcPr>
            <w:tcW w:w="3106" w:type="dxa"/>
            <w:tcBorders/>
            <w:vAlign w:val="center"/>
          </w:tcPr>
          <w:p>
            <w:pPr>
              <w:pStyle w:val="TableContents"/>
              <w:bidi w:val="0"/>
              <w:spacing w:lineRule="auto" w:line="328"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vAlign w:val="center"/>
          </w:tcPr>
          <w:p>
            <w:pPr>
              <w:pStyle w:val="TableContents"/>
              <w:bidi w:val="0"/>
              <w:spacing w:lineRule="auto" w:line="328"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541" w:type="dxa"/>
            <w:tcBorders/>
            <w:vAlign w:val="center"/>
          </w:tcPr>
          <w:p>
            <w:pPr>
              <w:pStyle w:val="TableContents"/>
              <w:bidi w:val="0"/>
              <w:spacing w:lineRule="auto" w:line="328"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06" w:type="dxa"/>
            <w:tcBorders/>
            <w:vAlign w:val="center"/>
          </w:tcPr>
          <w:p>
            <w:pPr>
              <w:pStyle w:val="TableContents"/>
              <w:bidi w:val="0"/>
              <w:spacing w:lineRule="auto" w:line="328"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561" w:type="dxa"/>
            <w:tcBorders/>
            <w:vAlign w:val="center"/>
          </w:tcPr>
          <w:p>
            <w:pPr>
              <w:pStyle w:val="TableContents"/>
              <w:bidi w:val="0"/>
              <w:spacing w:lineRule="auto" w:line="328" w:before="0" w:after="0"/>
              <w:ind w:left="0" w:right="0" w:hanging="0"/>
              <w:jc w:val="center"/>
              <w:rPr>
                <w:rFonts w:ascii="Times New Roman;Times;serif" w:hAnsi="Times New Roman;Times;serif"/>
                <w:sz w:val="18"/>
              </w:rPr>
            </w:pPr>
            <w:r>
              <w:rPr>
                <w:rFonts w:ascii="Times New Roman;Times;serif" w:hAnsi="Times New Roman;Times;serif"/>
                <w:sz w:val="18"/>
              </w:rPr>
              <w:t>FHB</w:t>
            </w:r>
          </w:p>
        </w:tc>
        <w:tc>
          <w:tcPr>
            <w:tcW w:w="354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35" w:name="_75dd7d71_59d8_46e3_ab72_c471e0ff99db"/>
      <w:bookmarkEnd w:id="35"/>
      <w:r>
        <w:rPr>
          <w:rFonts w:ascii="Times New Roman;Times;serif" w:hAnsi="Times New Roman;Times;serif"/>
          <w:b/>
          <w:sz w:val="20"/>
        </w:rPr>
        <w:t>Item 2.02 Results of Operations and Financial Condition.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July 24, 2026, First Hawaiian, Inc. (together with its consolidated subsidiary, “First Hawaiian”) reported its earnings for the quarter ended June 30, 2026. A copy of First Hawaiian’s press release containing this information is being furnished as Exhibit 99.1 to this Current Report on Form 8-K and is incorporated herein by reference.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All information provided in this Current Report on Form 8-K, including Exhibit 99.1, shall not be deemed to be “filed” for purposes of Section 18 of the Securities Exchange Act of 1934, as amended (the “Exchange Act”), or otherwise subject to the liabilities under that Section, and shall not be deemed to be incorporated by reference into any filing of First Hawaiian under the Securities Act of 1933, as amended, or the Exchange Act except as expressly set forth by specific reference in such a filing.</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36" w:name="_73a53e10_f9f9_40b9_abd0_7c1c4b6c7f34"/>
      <w:bookmarkEnd w:id="36"/>
      <w:r>
        <w:rPr>
          <w:rFonts w:ascii="Times New Roman;Times;serif" w:hAnsi="Times New Roman;Times;serif"/>
          <w:b/>
          <w:sz w:val="20"/>
        </w:rPr>
        <w:t>Item 9.01 Financial Statements and 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75260"/>
                      <wp:effectExtent l="0" t="0" r="0" b="0"/>
                      <wp:wrapNone/>
                      <wp:docPr id="4" name="Frame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7790" cy="175260"/>
                      <wp:effectExtent l="0" t="0" r="0" b="0"/>
                      <wp:wrapNone/>
                      <wp:docPr id="6" name="Frame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20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946"/>
        <w:gridCol w:w="109"/>
        <w:gridCol w:w="9150"/>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00710" cy="175260"/>
                      <wp:effectExtent l="0" t="0" r="0" b="0"/>
                      <wp:wrapNone/>
                      <wp:docPr id="7" name="Frame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8" name="Frame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810250" cy="175260"/>
                      <wp:effectExtent l="0" t="0" r="0" b="0"/>
                      <wp:wrapNone/>
                      <wp:docPr id="9" name="Frame9"/>
                      <a:graphic xmlns:a="http://schemas.openxmlformats.org/drawingml/2006/main">
                        <a:graphicData uri="http://schemas.microsoft.com/office/word/2010/wordprocessingShape">
                          <wps:wsp>
                            <wps:cNvSpPr txBox="1"/>
                            <wps:spPr>
                              <a:xfrm>
                                <a:off x="0" y="0"/>
                                <a:ext cx="581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1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50"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left"/>
              <w:rPr/>
            </w:pPr>
            <w:r>
              <w:rPr/>
              <w:t>​</w:t>
            </w:r>
          </w:p>
        </w:tc>
        <w:tc>
          <w:tcPr>
            <w:tcW w:w="9150" w:type="dxa"/>
            <w:tcBorders/>
            <w:vAlign w:val="center"/>
          </w:tcPr>
          <w:p>
            <w:pPr>
              <w:pStyle w:val="TableContents"/>
              <w:bidi w:val="0"/>
              <w:spacing w:before="0" w:after="0"/>
              <w:ind w:left="0" w:right="0" w:hanging="0"/>
              <w:jc w:val="left"/>
              <w:rPr/>
            </w:pPr>
            <w:hyperlink w:anchor="fhb-20260724xex99d1.htm">
              <w:r>
                <w:rPr>
                  <w:rStyle w:val="InternetLink"/>
                  <w:rFonts w:ascii="Times New Roman;Times;serif" w:hAnsi="Times New Roman;Times;serif"/>
                  <w:b w:val="false"/>
                  <w:i w:val="false"/>
                  <w:caps w:val="false"/>
                  <w:smallCaps w:val="false"/>
                  <w:sz w:val="20"/>
                </w:rPr>
                <w:t>Press release of First Hawaiian, Inc. dated July 24, 2026 containing financial information for its quarter ended June 30, 2026.</w:t>
              </w:r>
            </w:hyperlink>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50"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00"/>
        <w:ind w:left="0" w:right="0" w:hanging="0"/>
        <w:jc w:val="center"/>
        <w:rPr>
          <w:rFonts w:ascii="Times New Roman;Times;serif" w:hAnsi="Times New Roman;Times;serif"/>
          <w:b/>
          <w:sz w:val="20"/>
        </w:rPr>
      </w:pPr>
      <w:bookmarkStart w:id="37" w:name="_74a90d41_be55_4bda_b638_c249f4c1b41e"/>
      <w:bookmarkEnd w:id="37"/>
      <w:r>
        <w:rPr>
          <w:rFonts w:ascii="Times New Roman;Times;serif" w:hAnsi="Times New Roman;Times;serif"/>
          <w:b/>
          <w:sz w:val="20"/>
        </w:rPr>
        <w:t>SIGNATURE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7263" w:type="dxa"/>
        <w:jc w:val="left"/>
        <w:tblInd w:w="0" w:type="dxa"/>
        <w:tblLayout w:type="fixed"/>
        <w:tblCellMar>
          <w:top w:w="0" w:type="dxa"/>
          <w:left w:w="0" w:type="dxa"/>
          <w:bottom w:w="0" w:type="dxa"/>
          <w:right w:w="0" w:type="dxa"/>
        </w:tblCellMar>
      </w:tblPr>
      <w:tblGrid>
        <w:gridCol w:w="1711"/>
        <w:gridCol w:w="406"/>
        <w:gridCol w:w="5146"/>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Pril </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55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FIRST HAWAIIAN, INC.</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S. Harrison</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S. Harrison</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President and Chief Executive Officer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200"/>
        <w:ind w:left="0" w:right="0" w:hanging="0"/>
        <w:jc w:val="right"/>
        <w:rPr>
          <w:rFonts w:ascii="Times New Roman;Times;serif" w:hAnsi="Times New Roman;Times;serif"/>
          <w:b/>
          <w:sz w:val="20"/>
        </w:rPr>
      </w:pPr>
      <w:bookmarkStart w:id="38" w:name="fhb-20260724xex99d1.htm"/>
      <w:bookmarkStart w:id="39" w:name="ksfhb20260724xex99d1"/>
      <w:bookmarkEnd w:id="38"/>
      <w:bookmarkEnd w:id="39"/>
      <w:r>
        <w:rPr>
          <w:rFonts w:ascii="Times New Roman;Times;serif" w:hAnsi="Times New Roman;Times;serif"/>
          <w:b/>
          <w:sz w:val="20"/>
        </w:rPr>
        <w:t>EXHIBIT 99.1</w:t>
      </w:r>
      <w:r>
        <w:br w:type="page"/>
      </w:r>
    </w:p>
    <w:p>
      <w:pPr>
        <w:pStyle w:val="TextBody"/>
        <w:bidi w:val="0"/>
        <w:spacing w:before="0" w:after="0"/>
        <w:ind w:left="0" w:right="0" w:hanging="0"/>
        <w:jc w:val="left"/>
        <w:rPr/>
      </w:pPr>
      <w:r>
        <w:rPr/>
        <w:t>​</w:t>
      </w:r>
    </w:p>
    <w:p>
      <w:pPr>
        <w:pStyle w:val="TextBody"/>
        <w:bidi w:val="0"/>
        <w:spacing w:lineRule="atLeast" w:line="224" w:before="480" w:after="0"/>
        <w:ind w:left="72" w:right="0" w:hanging="0"/>
        <w:jc w:val="center"/>
        <w:rPr/>
      </w:pPr>
      <w:r>
        <w:rPr/>
        <w:drawing>
          <wp:inline distT="0" distB="0" distL="0" distR="0">
            <wp:extent cx="2495550" cy="3524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2495550" cy="352425"/>
                    </a:xfrm>
                    <a:prstGeom prst="rect">
                      <a:avLst/>
                    </a:prstGeom>
                  </pic:spPr>
                </pic:pic>
              </a:graphicData>
            </a:graphic>
          </wp:inline>
        </w:drawing>
      </w:r>
    </w:p>
    <w:p>
      <w:pPr>
        <w:pStyle w:val="TextBody"/>
        <w:bidi w:val="0"/>
        <w:spacing w:before="0" w:after="20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lineRule="auto" w:line="285" w:before="0" w:after="180"/>
        <w:ind w:left="0" w:right="0" w:hanging="0"/>
        <w:jc w:val="center"/>
        <w:rPr>
          <w:rFonts w:ascii="Times New Roman;Times;serif" w:hAnsi="Times New Roman;Times;serif"/>
          <w:b/>
          <w:sz w:val="20"/>
        </w:rPr>
      </w:pPr>
      <w:r>
        <w:rPr>
          <w:rFonts w:ascii="Times New Roman;Times;serif" w:hAnsi="Times New Roman;Times;serif"/>
          <w:b/>
          <w:sz w:val="20"/>
        </w:rPr>
        <w:t>First Hawaiian, Inc. Reports Second Quarter 2026 Financial Results and Declares Dividend</w:t>
      </w:r>
    </w:p>
    <w:p>
      <w:pPr>
        <w:pStyle w:val="TextBody"/>
        <w:bidi w:val="0"/>
        <w:spacing w:before="158" w:after="0"/>
        <w:ind w:left="72" w:right="72" w:hanging="0"/>
        <w:jc w:val="both"/>
        <w:rPr>
          <w:rFonts w:ascii="Times New Roman;Times;serif" w:hAnsi="Times New Roman;Times;serif"/>
          <w:sz w:val="20"/>
        </w:rPr>
      </w:pPr>
      <w:r>
        <w:rPr>
          <w:rFonts w:ascii="Times New Roman;Times;serif" w:hAnsi="Times New Roman;Times;serif"/>
          <w:sz w:val="20"/>
        </w:rPr>
        <w:t>HONOLULU, Hawaii July 24, 2026--(Globe Newswire)--First Hawaiian, Inc. (NASDAQ:FHB), (“First Hawaiian” or the “Company”) today reported financial results for its quarter ended June 30, 2026.</w:t>
      </w:r>
    </w:p>
    <w:p>
      <w:pPr>
        <w:pStyle w:val="TextBody"/>
        <w:bidi w:val="0"/>
        <w:spacing w:before="158" w:after="0"/>
        <w:ind w:left="72" w:right="72" w:hanging="0"/>
        <w:jc w:val="both"/>
        <w:rPr>
          <w:rFonts w:ascii="Times New Roman;Times;serif" w:hAnsi="Times New Roman;Times;serif"/>
          <w:sz w:val="20"/>
        </w:rPr>
      </w:pPr>
      <w:bookmarkStart w:id="40" w:name="_Hlk37925713"/>
      <w:bookmarkEnd w:id="40"/>
      <w:r>
        <w:rPr>
          <w:rFonts w:ascii="Times New Roman;Times;serif" w:hAnsi="Times New Roman;Times;serif"/>
          <w:sz w:val="20"/>
        </w:rPr>
        <w:t>"The second quarter was another strong quarter, reflecting the strength of our business model, the disciplined execution by our team and the trust our customers place in us," said Bob Harrison, Chairman, President and Chief Executive Officer. "The announced acquisition of Tri Counties Bank builds on that momentum, bringing together two strong banks with shared values and complementary strengths to better serve our customers and communities while creating long-term value for our shareholders."</w:t>
      </w:r>
    </w:p>
    <w:p>
      <w:pPr>
        <w:pStyle w:val="TextBody"/>
        <w:bidi w:val="0"/>
        <w:spacing w:before="158" w:after="0"/>
        <w:ind w:left="72" w:right="72" w:hanging="0"/>
        <w:jc w:val="both"/>
        <w:rPr>
          <w:rFonts w:ascii="Times New Roman;Times;serif" w:hAnsi="Times New Roman;Times;serif"/>
          <w:sz w:val="20"/>
        </w:rPr>
      </w:pPr>
      <w:r>
        <w:rPr>
          <w:rFonts w:ascii="Times New Roman;Times;serif" w:hAnsi="Times New Roman;Times;serif"/>
          <w:sz w:val="20"/>
        </w:rPr>
        <w:t>On July 22, 2026, the Company’s Board of Directors declared a quarterly cash dividend of $0.26 per share. The dividend will be payable on August 28, 2026, to stockholders of record at the close of business on August 17,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Second Quarter 2026 Highlights:</w:t>
      </w:r>
    </w:p>
    <w:tbl>
      <w:tblPr>
        <w:tblW w:w="4668" w:type="dxa"/>
        <w:jc w:val="left"/>
        <w:tblInd w:w="0" w:type="dxa"/>
        <w:tblLayout w:type="fixed"/>
        <w:tblCellMar>
          <w:top w:w="0" w:type="dxa"/>
          <w:left w:w="0" w:type="dxa"/>
          <w:bottom w:w="0" w:type="dxa"/>
          <w:right w:w="0" w:type="dxa"/>
        </w:tblCellMar>
      </w:tblPr>
      <w:tblGrid>
        <w:gridCol w:w="23"/>
        <w:gridCol w:w="170"/>
        <w:gridCol w:w="4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of $73.4 million, or $0.60 per diluted share</w:t>
            </w:r>
          </w:p>
        </w:tc>
      </w:tr>
    </w:tbl>
    <w:tbl>
      <w:tblPr>
        <w:tblW w:w="5718" w:type="dxa"/>
        <w:jc w:val="left"/>
        <w:tblInd w:w="0" w:type="dxa"/>
        <w:tblLayout w:type="fixed"/>
        <w:tblCellMar>
          <w:top w:w="0" w:type="dxa"/>
          <w:left w:w="0" w:type="dxa"/>
          <w:bottom w:w="0" w:type="dxa"/>
          <w:right w:w="0" w:type="dxa"/>
        </w:tblCellMar>
      </w:tblPr>
      <w:tblGrid>
        <w:gridCol w:w="23"/>
        <w:gridCol w:w="170"/>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loans and leases increased $136.5 million versus prior quarter </w:t>
            </w:r>
          </w:p>
        </w:tc>
      </w:tr>
    </w:tbl>
    <w:tbl>
      <w:tblPr>
        <w:tblW w:w="5073" w:type="dxa"/>
        <w:jc w:val="left"/>
        <w:tblInd w:w="0" w:type="dxa"/>
        <w:tblLayout w:type="fixed"/>
        <w:tblCellMar>
          <w:top w:w="0" w:type="dxa"/>
          <w:left w:w="0" w:type="dxa"/>
          <w:bottom w:w="0" w:type="dxa"/>
          <w:right w:w="0" w:type="dxa"/>
        </w:tblCellMar>
      </w:tblPr>
      <w:tblGrid>
        <w:gridCol w:w="23"/>
        <w:gridCol w:w="170"/>
        <w:gridCol w:w="4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deposits decreased $623.2 million versus prior quarter</w:t>
            </w:r>
          </w:p>
        </w:tc>
      </w:tr>
    </w:tbl>
    <w:tbl>
      <w:tblPr>
        <w:tblW w:w="4503" w:type="dxa"/>
        <w:jc w:val="left"/>
        <w:tblInd w:w="0" w:type="dxa"/>
        <w:tblLayout w:type="fixed"/>
        <w:tblCellMar>
          <w:top w:w="0" w:type="dxa"/>
          <w:left w:w="0" w:type="dxa"/>
          <w:bottom w:w="0" w:type="dxa"/>
          <w:right w:w="0" w:type="dxa"/>
        </w:tblCellMar>
      </w:tblPr>
      <w:tblGrid>
        <w:gridCol w:w="23"/>
        <w:gridCol w:w="170"/>
        <w:gridCol w:w="4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margin increased 6 basis points to 3.25%</w:t>
            </w:r>
          </w:p>
        </w:tc>
      </w:tr>
    </w:tbl>
    <w:tbl>
      <w:tblPr>
        <w:tblW w:w="4308" w:type="dxa"/>
        <w:jc w:val="left"/>
        <w:tblInd w:w="0" w:type="dxa"/>
        <w:tblLayout w:type="fixed"/>
        <w:tblCellMar>
          <w:top w:w="0" w:type="dxa"/>
          <w:left w:w="0" w:type="dxa"/>
          <w:bottom w:w="0" w:type="dxa"/>
          <w:right w:w="0" w:type="dxa"/>
        </w:tblCellMar>
      </w:tblPr>
      <w:tblGrid>
        <w:gridCol w:w="23"/>
        <w:gridCol w:w="170"/>
        <w:gridCol w:w="4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a $5.6 million provision for credit losses</w:t>
            </w:r>
          </w:p>
        </w:tc>
      </w:tr>
    </w:tbl>
    <w:tbl>
      <w:tblPr>
        <w:tblW w:w="5613" w:type="dxa"/>
        <w:jc w:val="left"/>
        <w:tblInd w:w="0" w:type="dxa"/>
        <w:tblLayout w:type="fixed"/>
        <w:tblCellMar>
          <w:top w:w="0" w:type="dxa"/>
          <w:left w:w="0" w:type="dxa"/>
          <w:bottom w:w="0" w:type="dxa"/>
          <w:right w:w="0" w:type="dxa"/>
        </w:tblCellMar>
      </w:tblPr>
      <w:tblGrid>
        <w:gridCol w:w="23"/>
        <w:gridCol w:w="170"/>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 declared a quarterly dividend of $0.26 per share</w:t>
            </w:r>
          </w:p>
        </w:tc>
      </w:tr>
    </w:tbl>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Balance Sheet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Total assets were $23.6 billion at June 30, 2026 versus $24.3 billion at March 31, 2026.</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Gross loans and leases were $14.6 billion as of June 30, 2026, an increase of $136.5 million from $14.4 billion as of March 31, 2026.</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Total deposits were $20.2 billion as of June 30, 2026, a decrease of $623.2 million from $20.8 billion as of March 31, 2026.</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Net Interest Income</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Net interest income for the second quarter of 2026 was $171.0 million, an increase of $3.5 million compared to $167.5 million for the prior quarter.</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net interest margin was 3.25% in the second quarter of 2026, 6 basis points higher than the prior quarter’s margin of 3.19%.</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Provision Expense</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During the quarter ended June 30, 2026, we recorded a $5.6 million provision for credit losses. In the quarter ended March 31, 2026, we recorded a $5.0 million provision for credit losses.</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Noninterest Income</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Noninterest income was $60.3 million in the second quarter of 2026, $7.5 million higher compared to noninterest income of $52.8 million in the prior quarter.</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Noninterest Expense</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Noninterest expense was $130.4 million in the second quarter of 2026, $2.6 million higher compared to noninterest expense of $127.9 million in the prior quarter.</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The efficiency ratio was 56.2% and 57.8% for the quarters ended June 30, 2026 and March 31, 2026, respectively.</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Taxes</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The effective tax rate was 22.9% and 22.5% for the quarters ended June 30, 2026 and March 31, 2026, respectively.</w:t>
      </w:r>
    </w:p>
    <w:p>
      <w:pPr>
        <w:pStyle w:val="HorizontalLine"/>
        <w:pBdr>
          <w:bottom w:val="double" w:sz="2" w:space="0" w:color="808080"/>
        </w:pBdr>
        <w:bidi w:val="0"/>
        <w:spacing w:before="0" w:after="283"/>
        <w:jc w:val="left"/>
        <w:rPr/>
      </w:pPr>
      <w:r>
        <w:rPr/>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Asset Quality</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 xml:space="preserve">The allowance for credit losses was $168.1 million, or 1.15% of total loans and leases, as of June 30, 2026, compared to $169.3 million, or 1.17% of total loans and leases, as of March 31, 2026. The reserve for unfunded commitments was $37.7 million as of June 30, 2026 and $34.9 million as of March 31, 2026. Net charge-offs were $4.1 million, or 0.11% of average loans and leases on an annualized basis, for the quarter ended June 30, 2026, compared to net charge-offs of $4.9 million, or 0.14% of average loans and leases on an annualized basis, for the quarter ended March 31, 2026. Total non-performing assets were $39.5 million, or 0.27% of total loans and leases and other real estate owned, on June 30, 2026, compared to total non-performing assets of $39.7 million, or 0.27% of total loans and leases and other real estate owned, on March 31, 2026. </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Capital</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Total stockholders' equity was $2.8 billion at June 30, 2026 and March 31, 2026.</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The tier 1 leverage, common equity tier 1 and total capital ratios were 9.46%, 13.27% and 14.52%, respectively, on June 30, 2026, compared with 9.21%, 13.12% and 14.37%, respectively, on March 31, 2026.</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 xml:space="preserve">The Company did not repurchase any shares in the second quarter. </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First Hawaiian, Inc.</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 xml:space="preserve">First Hawaiian, Inc. (NASDAQ:FHB) is a bank holding company headquartered in Honolulu, Hawaii. Its principal subsidiary, First Hawaiian Bank, founded in 1858 under the name Bishop &amp; Company, is Hawaii’s oldest and largest financial institution with branch locations throughout Hawaii, Guam and Saipan. The company offers a comprehensive suite of banking services to consumer and commercial customers including deposit products, loans, wealth management, insurance, trust, retirement planning, credit card and merchant processing services. Customers may also access their accounts through ATMs, online and mobile banking channels. For more information about First Hawaiian, Inc., visit the Company’s website, </w:t>
      </w:r>
      <w:r>
        <w:rPr>
          <w:rFonts w:ascii="Times New Roman;Times;serif" w:hAnsi="Times New Roman;Times;serif"/>
          <w:sz w:val="20"/>
          <w:u w:val="single"/>
        </w:rPr>
        <w:t>www.fhb.com</w:t>
      </w:r>
      <w:r>
        <w:rPr>
          <w:rFonts w:ascii="Times New Roman;Times;serif" w:hAnsi="Times New Roman;Times;serif"/>
          <w:sz w:val="20"/>
        </w:rPr>
        <w:t>.</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Conference Call Information</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First Hawaiian will host a conference call to discuss the Company’s results today at 1:00 p.m. Eastern Time, 7:00 a.m. Hawaii Time.</w:t>
      </w:r>
    </w:p>
    <w:p>
      <w:pPr>
        <w:pStyle w:val="TextBody"/>
        <w:bidi w:val="0"/>
        <w:spacing w:lineRule="auto" w:line="285" w:before="0" w:after="180"/>
        <w:ind w:left="0" w:right="0" w:hanging="0"/>
        <w:jc w:val="left"/>
        <w:rPr>
          <w:rFonts w:ascii="Times New Roman;Times;serif" w:hAnsi="Times New Roman;Times;serif"/>
          <w:sz w:val="20"/>
        </w:rPr>
      </w:pPr>
      <w:r>
        <w:rPr>
          <w:rFonts w:ascii="Times New Roman;Times;serif" w:hAnsi="Times New Roman;Times;serif"/>
          <w:sz w:val="20"/>
        </w:rPr>
        <w:t>To access the call by phone, please register via the following link:</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u w:val="single"/>
        </w:rPr>
        <w:t xml:space="preserve">https://register-conf.media-server.com/register/BIb8e318d9b8d24417b3d7d113fcf80dbc, </w:t>
      </w:r>
      <w:r>
        <w:rPr>
          <w:rFonts w:ascii="Times New Roman;Times;serif" w:hAnsi="Times New Roman;Times;serif"/>
          <w:sz w:val="20"/>
        </w:rPr>
        <w:t>and you will be provided with dial in details. To avoid delays, we encourage participants to dial into the conference call fifteen minutes ahead of the scheduled start time.</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A live webcast of the conference call, including a slide presentation, will be available at the following link: www.fhb.com/earnings. The archive of the webcast will be available at the same location.</w:t>
      </w:r>
    </w:p>
    <w:p>
      <w:pPr>
        <w:pStyle w:val="HorizontalLine"/>
        <w:pBdr>
          <w:bottom w:val="double" w:sz="2" w:space="0" w:color="808080"/>
        </w:pBdr>
        <w:bidi w:val="0"/>
        <w:spacing w:before="0" w:after="283"/>
        <w:jc w:val="left"/>
        <w:rPr/>
      </w:pPr>
      <w:r>
        <w:rPr/>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within the meaning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there can be no assurance that actual results will not prove to be materially different from the results expressed or implied by the forward-looking statements. A number of important factors could cause actual results or performance to differ materially from the forward-looking statements, including (without limitation) the risks and uncertainties associated with the domestic and global economic environment and capital market conditions and other risk factors. For a discussion of some of these risks and important factors that could affect our future results and financial condition, see our U.S. Securities and Exchange Commission (“SEC”) filings, including, but not limited to, our Annual Report on Form 10-K for the year ended December 31, 2025 and our Quarterly Report on Form 10-Q for the quarter ended March 31, 2026.</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Use of Non-GAAP Financial Measures</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Return on average tangible assets, return on average tangible stockholders’ equity, tangible book value per share and tangible stockholders’ equity to tangible assets are non-GAAP financial measures. We believe that these measurements are useful for investors, regulators, management and others to evaluate financial performance and capital adequacy relative to other financial institutions. Although these non-GAAP financial measures are frequently used by stakeholders in the evaluation of a company, they have limitations as analytical tools and should not be considered in isolation or as a substitute for analysis of our results or financial condition as reported under GAAP. Investors should consider our performance and capital adequacy as reported under GAAP and all other relevant information when assessing our performance and capital adequacy.</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Table 14 at the end of this document provides a reconciliation of these non-GAAP financial measures with their most directly comparable GAAP measures.</w:t>
      </w:r>
    </w:p>
    <w:tbl>
      <w:tblPr>
        <w:tblW w:w="4247" w:type="dxa"/>
        <w:jc w:val="center"/>
        <w:tblInd w:w="0" w:type="dxa"/>
        <w:tblLayout w:type="fixed"/>
        <w:tblCellMar>
          <w:top w:w="0" w:type="dxa"/>
          <w:left w:w="0" w:type="dxa"/>
          <w:bottom w:w="0" w:type="dxa"/>
          <w:right w:w="0" w:type="dxa"/>
        </w:tblCellMar>
      </w:tblPr>
      <w:tblGrid>
        <w:gridCol w:w="2431"/>
        <w:gridCol w:w="1816"/>
      </w:tblGrid>
      <w:tr>
        <w:trPr/>
        <w:tc>
          <w:tcPr>
            <w:tcW w:w="243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tc>
        <w:tc>
          <w:tcPr>
            <w:tcW w:w="18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Media Contact:</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Kevin Haseyama, CFA</w:t>
            </w:r>
          </w:p>
        </w:tc>
        <w:tc>
          <w:tcPr>
            <w:tcW w:w="18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Bill Weeshoff</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(808) 525-6268</w:t>
            </w:r>
          </w:p>
        </w:tc>
        <w:tc>
          <w:tcPr>
            <w:tcW w:w="18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(808) 525-6229</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khaseyama@fhb.com</w:t>
            </w:r>
          </w:p>
        </w:tc>
        <w:tc>
          <w:tcPr>
            <w:tcW w:w="18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bweeshoff@fhb.com</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787" w:type="dxa"/>
        <w:jc w:val="left"/>
        <w:tblInd w:w="0" w:type="dxa"/>
        <w:tblLayout w:type="fixed"/>
        <w:tblCellMar>
          <w:top w:w="0" w:type="dxa"/>
          <w:left w:w="0" w:type="dxa"/>
          <w:bottom w:w="0" w:type="dxa"/>
          <w:right w:w="0" w:type="dxa"/>
        </w:tblCellMar>
      </w:tblPr>
      <w:tblGrid>
        <w:gridCol w:w="3106"/>
        <w:gridCol w:w="346"/>
        <w:gridCol w:w="196"/>
        <w:gridCol w:w="916"/>
        <w:gridCol w:w="376"/>
        <w:gridCol w:w="196"/>
        <w:gridCol w:w="916"/>
        <w:gridCol w:w="346"/>
        <w:gridCol w:w="196"/>
        <w:gridCol w:w="916"/>
        <w:gridCol w:w="346"/>
        <w:gridCol w:w="211"/>
        <w:gridCol w:w="916"/>
        <w:gridCol w:w="376"/>
        <w:gridCol w:w="196"/>
        <w:gridCol w:w="916"/>
        <w:gridCol w:w="31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72310" cy="175260"/>
                      <wp:effectExtent l="0" t="0" r="0" b="0"/>
                      <wp:wrapNone/>
                      <wp:docPr id="11" name="Frame10"/>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1660" cy="175260"/>
                      <wp:effectExtent l="0" t="0" r="0" b="0"/>
                      <wp:wrapNone/>
                      <wp:docPr id="14" name="Frame1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38760" cy="175260"/>
                      <wp:effectExtent l="0" t="0" r="0" b="0"/>
                      <wp:wrapNone/>
                      <wp:docPr id="15" name="Frame1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1660" cy="175260"/>
                      <wp:effectExtent l="0" t="0" r="0" b="0"/>
                      <wp:wrapNone/>
                      <wp:docPr id="17" name="Frame1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1660" cy="175260"/>
                      <wp:effectExtent l="0" t="0" r="0" b="0"/>
                      <wp:wrapNone/>
                      <wp:docPr id="20" name="Frame1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81660" cy="175260"/>
                      <wp:effectExtent l="0" t="0" r="0" b="0"/>
                      <wp:wrapNone/>
                      <wp:docPr id="23" name="Frame2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38760" cy="175260"/>
                      <wp:effectExtent l="0" t="0" r="0" b="0"/>
                      <wp:wrapNone/>
                      <wp:docPr id="24" name="Frame2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81660" cy="175260"/>
                      <wp:effectExtent l="0" t="0" r="0" b="0"/>
                      <wp:wrapNone/>
                      <wp:docPr id="26" name="Frame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0660" cy="175260"/>
                      <wp:effectExtent l="0" t="0" r="0" b="0"/>
                      <wp:wrapNone/>
                      <wp:docPr id="27" name="Frame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Financial Highlights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5" w:type="dxa"/>
            <w:gridSpan w:val="15"/>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data)</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Results: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170,993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163,583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338,523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324,109</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5,600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10,600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60,281</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53,958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113,100</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104,435</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130,445</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127,885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258,330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248,499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73,375</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67,784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141,159</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132,495</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0.60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1.16</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0.60</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1.15</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declared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0.26</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0.52</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 payout ratio</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43.33</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45.22</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Performance Ratios</w:t>
            </w:r>
            <w:r>
              <w:rPr>
                <w:rFonts w:ascii="Times New Roman;Times;serif" w:hAnsi="Times New Roman;Times;serif"/>
                <w:b/>
                <w:sz w:val="14"/>
              </w:rPr>
              <w:t>(1)</w:t>
            </w:r>
            <w:r>
              <w:rPr>
                <w:rFonts w:ascii="Times New Roman;Times;serif" w:hAnsi="Times New Roman;Times;serif"/>
                <w:b/>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interest margin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3.25</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3.22</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Efficiency ratio</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56.17</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56.95</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Return on average total assets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1.23</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1.19</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Return on average tangible assets (non-GAAP)</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1.28</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1.24</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Return on average total stockholders' equity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10.52</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10.19</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Return on average tangible stockholders' equity (non-GAAP)</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16.34</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15.84</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Average Balances: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loans and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14,488,213</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14,289,418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14,288,918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14,389,365</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14,299,400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earning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21,192,973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21,332,641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21,167,588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21,262,421</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21,168,386</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23,954,425</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24,083,280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23,859,410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24,018,496</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23,874,849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20,483,307</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20,623,573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20,280,042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20,553,052</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20,316,836</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2,796,857</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2,788,826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2,663,850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2,792,863</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2,652,975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Market Value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Closing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29.30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29.30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High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29.63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29.63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28.28</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Low</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24.50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23.26</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24"/>
        <w:gridCol w:w="109"/>
        <w:gridCol w:w="226"/>
        <w:gridCol w:w="1036"/>
        <w:gridCol w:w="391"/>
        <w:gridCol w:w="226"/>
        <w:gridCol w:w="1036"/>
        <w:gridCol w:w="271"/>
        <w:gridCol w:w="226"/>
        <w:gridCol w:w="1036"/>
        <w:gridCol w:w="271"/>
        <w:gridCol w:w="211"/>
        <w:gridCol w:w="1036"/>
        <w:gridCol w:w="406"/>
      </w:tblGrid>
      <w:tr>
        <w:trPr/>
        <w:tc>
          <w:tcPr>
            <w:tcW w:w="3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364740" cy="175260"/>
                      <wp:effectExtent l="0" t="0" r="0" b="0"/>
                      <wp:wrapNone/>
                      <wp:docPr id="28" name="Frame27"/>
                      <a:graphic xmlns:a="http://schemas.openxmlformats.org/drawingml/2006/main">
                        <a:graphicData uri="http://schemas.microsoft.com/office/word/2010/wordprocessingShape">
                          <wps:wsp>
                            <wps:cNvSpPr txBox="1"/>
                            <wps:spPr>
                              <a:xfrm>
                                <a:off x="0" y="0"/>
                                <a:ext cx="2364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30" name="Frame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57860" cy="175260"/>
                      <wp:effectExtent l="0" t="0" r="0" b="0"/>
                      <wp:wrapNone/>
                      <wp:docPr id="31" name="Frame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48285" cy="175260"/>
                      <wp:effectExtent l="0" t="0" r="0" b="0"/>
                      <wp:wrapNone/>
                      <wp:docPr id="32" name="Frame3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3"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57860" cy="175260"/>
                      <wp:effectExtent l="0" t="0" r="0" b="0"/>
                      <wp:wrapNone/>
                      <wp:docPr id="34" name="Frame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72085" cy="175260"/>
                      <wp:effectExtent l="0" t="0" r="0" b="0"/>
                      <wp:wrapNone/>
                      <wp:docPr id="35" name="Frame3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6"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57860" cy="175260"/>
                      <wp:effectExtent l="0" t="0" r="0" b="0"/>
                      <wp:wrapNone/>
                      <wp:docPr id="37"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2085" cy="175260"/>
                      <wp:effectExtent l="0" t="0" r="0" b="0"/>
                      <wp:wrapNone/>
                      <wp:docPr id="38" name="Frame3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57860" cy="175260"/>
                      <wp:effectExtent l="0" t="0" r="0" b="0"/>
                      <wp:wrapNone/>
                      <wp:docPr id="40" name="Frame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57810" cy="175260"/>
                      <wp:effectExtent l="0" t="0" r="0" b="0"/>
                      <wp:wrapNone/>
                      <wp:docPr id="41" name="Frame4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91"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271"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271"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71"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71"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data)</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Data:</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14,577,299</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14,440,835</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14,312,529</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14,351,869</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23,646,049</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24,264,548</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23,955,252</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23,837,147</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20,154,181</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20,777,353</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20,515,668</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20,231,419</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2,826,028</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2,767,760</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2,769,365</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2,694,545</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Share of Common Stock:</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 value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23.22</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book value (non-GAAP)</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15.04</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Quality Ratios: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Non-accrual loans and leases / total loans and leases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 for loans and leases / total loans and leases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Ratios: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Equity Tier 1 Capital Ratio</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Capital Ratio</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Ratio</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Leverage Ratio</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9.46</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 to 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stockholders' equity to tangible assets (non-GAAP)</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8.08</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Non-Financial Data:</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branches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ATMs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274</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Full-Time Equivalent Employees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1,995</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w:t>
            </w:r>
          </w:p>
        </w:tc>
        <w:tc>
          <w:tcPr>
            <w:tcW w:w="406" w:type="dxa"/>
            <w:tcBorders/>
            <w:shd w:fill="CCEEFF" w:val="clear"/>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Except for the efficiency ratio, amounts are annualized for the three and six months ended June 30, 2026 and 2025 and three months ended March 31, 2026.</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Return on average tangible assets, return on average tangible stockholders’ equity, tangible book value per share and tangible stockholders’ equity to tangible assets are non-GAAP financial measures. We compute our return on average tangible assets as the ratio of net income to average tangible assets, which is calculated by subtracting (and thereby effectively excluding) amounts related to the effect of goodwill from our average total assets. We compute our return on average tangible stockholders’ equity as the ratio of net income to average tangible stockholders’ equity, which is calculated by subtracting (and thereby effectively excluding) amounts related to the effect of goodwill from our average total stockholders’ equity. We compute our tangible book value per share as the ratio of tangible stockholders’ equity to outstanding shares. Tangible stockholders’ equity is calculated by subtracting (and thereby effectively excluding) amounts related to the effect of goodwill from our total stockholders’ equity. We compute our tangible stockholders’ equity to tangible assets as the ratio of tangible stockholders’ equity to tangible assets, each of which we calculate by subtracting (and thereby effectively excluding) the value of our goodwill. For a reconciliation to the most directly comparable GAAP financial measure, see Table 14, GAAP to Non-GAAP Reconciliation.</w:t>
            </w:r>
          </w:p>
        </w:tc>
      </w:tr>
    </w:tbl>
    <w:p>
      <w:pPr>
        <w:pStyle w:val="TextBody"/>
        <w:bidi w:val="0"/>
        <w:spacing w:before="0" w:after="200"/>
        <w:ind w:left="360" w:right="0" w:hanging="0"/>
        <w:jc w:val="both"/>
        <w:rPr/>
      </w:pPr>
      <w:r>
        <w:rPr/>
        <w:t>​</w:t>
      </w:r>
    </w:p>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1251" w:type="dxa"/>
        <w:jc w:val="left"/>
        <w:tblInd w:w="0" w:type="dxa"/>
        <w:tblLayout w:type="fixed"/>
        <w:tblCellMar>
          <w:top w:w="0" w:type="dxa"/>
          <w:left w:w="0" w:type="dxa"/>
          <w:bottom w:w="0" w:type="dxa"/>
          <w:right w:w="0" w:type="dxa"/>
        </w:tblCellMar>
      </w:tblPr>
      <w:tblGrid>
        <w:gridCol w:w="3406"/>
        <w:gridCol w:w="346"/>
        <w:gridCol w:w="196"/>
        <w:gridCol w:w="1006"/>
        <w:gridCol w:w="346"/>
        <w:gridCol w:w="196"/>
        <w:gridCol w:w="1006"/>
        <w:gridCol w:w="346"/>
        <w:gridCol w:w="196"/>
        <w:gridCol w:w="1006"/>
        <w:gridCol w:w="346"/>
        <w:gridCol w:w="196"/>
        <w:gridCol w:w="1006"/>
        <w:gridCol w:w="346"/>
        <w:gridCol w:w="196"/>
        <w:gridCol w:w="111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62810" cy="175260"/>
                      <wp:effectExtent l="0" t="0" r="0" b="0"/>
                      <wp:wrapNone/>
                      <wp:docPr id="42" name="Frame41"/>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38810" cy="175260"/>
                      <wp:effectExtent l="0" t="0" r="0" b="0"/>
                      <wp:wrapNone/>
                      <wp:docPr id="45" name="Frame4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38810" cy="175260"/>
                      <wp:effectExtent l="0" t="0" r="0" b="0"/>
                      <wp:wrapNone/>
                      <wp:docPr id="48" name="Frame4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38810" cy="175260"/>
                      <wp:effectExtent l="0" t="0" r="0" b="0"/>
                      <wp:wrapNone/>
                      <wp:docPr id="51" name="Frame5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38810" cy="175260"/>
                      <wp:effectExtent l="0" t="0" r="0" b="0"/>
                      <wp:wrapNone/>
                      <wp:docPr id="54" name="Frame5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05485" cy="175260"/>
                      <wp:effectExtent l="0" t="0" r="0" b="0"/>
                      <wp:wrapNone/>
                      <wp:docPr id="57" name="Frame5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Consolidated Statements of Income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9" w:type="dxa"/>
            <w:gridSpan w:val="14"/>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9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left"/>
              <w:rPr/>
            </w:pPr>
            <w:r>
              <w:rPr/>
              <w:t>​</w:t>
            </w:r>
          </w:p>
        </w:tc>
        <w:tc>
          <w:tcPr>
            <w:tcW w:w="28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8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amounts)</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and lease financing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190,727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193,393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377,116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385,495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Available-for-sale investment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25,619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Held-to-maturity investment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15,121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30,184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32,946</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24,014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27,829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232,367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229,698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236,739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462,065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471,889</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61,220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123,284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141,998</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5,226</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61,374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123,542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147,780</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170,993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167,530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338,523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324,109</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interest income after provision for credit losses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165,393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162,530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159,083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327,923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309,109</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 charges on deposit accounts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15,365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Credit and debit card fees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30,485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30,387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service charges and fees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25,517</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Trust and investment services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18,220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18,524</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Bank-owned life insurance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securities gains,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6,011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8,570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5,510</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60,281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113,100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104,435</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62,376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126,466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119,605</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Contracted services and professional fees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18,402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32,366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30,836</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7,902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15,718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16,034</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14,563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29,344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27,908</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Regulatory assessment and fees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7,582</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Advertising and marketing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Card rewards program</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8,403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16,325</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26,534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25,995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130,445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124,939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258,330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248,499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before provision for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95,229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87,464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182,693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165,045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21,854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41,534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32,550</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73,375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141,159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132,495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earnings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weighted-average outstanding shares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121,669,238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122,457,604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125,321,837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122,061,243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125,799,060</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weighted-average outstanding shares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122,339,836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123,345,708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125,833,064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122,830,138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126,493,569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728"/>
        <w:gridCol w:w="346"/>
        <w:gridCol w:w="211"/>
        <w:gridCol w:w="1036"/>
        <w:gridCol w:w="346"/>
        <w:gridCol w:w="211"/>
        <w:gridCol w:w="1036"/>
        <w:gridCol w:w="346"/>
        <w:gridCol w:w="211"/>
        <w:gridCol w:w="1036"/>
        <w:gridCol w:w="346"/>
        <w:gridCol w:w="211"/>
        <w:gridCol w:w="1141"/>
      </w:tblGrid>
      <w:tr>
        <w:trPr/>
        <w:tc>
          <w:tcPr>
            <w:tcW w:w="3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67280" cy="175260"/>
                      <wp:effectExtent l="0" t="0" r="0" b="0"/>
                      <wp:wrapNone/>
                      <wp:docPr id="58" name="Frame57"/>
                      <a:graphic xmlns:a="http://schemas.openxmlformats.org/drawingml/2006/main">
                        <a:graphicData uri="http://schemas.microsoft.com/office/word/2010/wordprocessingShape">
                          <wps:wsp>
                            <wps:cNvSpPr txBox="1"/>
                            <wps:spPr>
                              <a:xfrm>
                                <a:off x="0" y="0"/>
                                <a:ext cx="2367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57860" cy="175260"/>
                      <wp:effectExtent l="0" t="0" r="0" b="0"/>
                      <wp:wrapNone/>
                      <wp:docPr id="61" name="Frame6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57860" cy="175260"/>
                      <wp:effectExtent l="0" t="0" r="0" b="0"/>
                      <wp:wrapNone/>
                      <wp:docPr id="64" name="Frame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57860" cy="175260"/>
                      <wp:effectExtent l="0" t="0" r="0" b="0"/>
                      <wp:wrapNone/>
                      <wp:docPr id="67" name="Frame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24535" cy="175260"/>
                      <wp:effectExtent l="0" t="0" r="0" b="0"/>
                      <wp:wrapNone/>
                      <wp:docPr id="70" name="Frame6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Consolidated Balance Sheets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1" w:type="dxa"/>
            <w:gridSpan w:val="11"/>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3</w:t>
            </w:r>
          </w:p>
        </w:tc>
      </w:tr>
      <w:tr>
        <w:trPr/>
        <w:tc>
          <w:tcPr>
            <w:tcW w:w="3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share amount)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due from banks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263,762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304,624</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deposits in other banks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748,734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1,493,421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1,094,411</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at fair value (amortized cost: $2,275,837 as of June 30, 2026, $2,270,792 as of March 31, 2026, $2,246,716 as of December 31, 2025 and $2,097,906 as of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2,094,699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1,891,654</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Held-to-maturity, at amortized cost (fair value: $3,035,475 as of June 30, 2026, $3,074,133 as of March 31, 2026, $3,188,775 as of December 31, 2025 and $3,230,698 as of June 30,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3,411,684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3,480,022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3,533,082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3,658,814</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14,577,299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14,440,835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14,312,529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14,351,869</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168,056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167,825</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loans and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14,409,243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14,271,517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14,144,061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14,184,044</w:t>
            </w:r>
          </w:p>
        </w:tc>
      </w:tr>
      <w:tr>
        <w:trPr/>
        <w:tc>
          <w:tcPr>
            <w:tcW w:w="37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Premises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299,149</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76,622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77,943</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Bank-owned life 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521,137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514,069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502,419</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servicing rights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816,349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823,769</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23,646,049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24,264,548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23,955,252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23,837,147</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13,706,392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14,257,290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13,968,376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13,386,987</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6,447,789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6,520,063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6,547,292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6,844,432</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20,154,181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20,777,353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20,515,668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20,231,419</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benefits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97,409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95,357</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568,431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621,215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571,167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565,826</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20,820,021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21,496,788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21,185,887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21,142,602</w:t>
            </w:r>
          </w:p>
        </w:tc>
      </w:tr>
      <w:tr>
        <w:trPr/>
        <w:tc>
          <w:tcPr>
            <w:tcW w:w="3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authorized 300,000,000 shares; issued/outstanding: 142,661,019 / 121,680,634 shares as of June 30, 2026, issued/outstanding: 142,627,813 / 121,648,973 shares as of March 31, 2026, issued/outstanding: 142,184,584 / 122,689,256 shares as of December 31, 2025 and issued/outstanding: 142,173,027 / 124,683,544 shares as of June 30,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2,584,578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2,576,540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2,567,936</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1,156,028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1,114,759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1,078,885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1,000,997</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(359,793)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(407,008)</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(20,980,385 shares as of June 30, 2026, 20,978,840 shares as of March 31, 2026, 19,495,328 shares as of December 31, 2025 and 17,489,483 shares as of June 30,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(556,212)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(556,179)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(519,342)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(468,802)</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2,826,028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2,694,545</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23,646,049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24,264,548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23,955,252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23,837,147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2551" w:type="dxa"/>
        <w:jc w:val="left"/>
        <w:tblInd w:w="0" w:type="dxa"/>
        <w:tblLayout w:type="fixed"/>
        <w:tblCellMar>
          <w:top w:w="0" w:type="dxa"/>
          <w:left w:w="0" w:type="dxa"/>
          <w:bottom w:w="0" w:type="dxa"/>
          <w:right w:w="0" w:type="dxa"/>
        </w:tblCellMar>
      </w:tblPr>
      <w:tblGrid>
        <w:gridCol w:w="2776"/>
        <w:gridCol w:w="346"/>
        <w:gridCol w:w="196"/>
        <w:gridCol w:w="736"/>
        <w:gridCol w:w="346"/>
        <w:gridCol w:w="196"/>
        <w:gridCol w:w="511"/>
        <w:gridCol w:w="346"/>
        <w:gridCol w:w="481"/>
        <w:gridCol w:w="361"/>
        <w:gridCol w:w="196"/>
        <w:gridCol w:w="736"/>
        <w:gridCol w:w="346"/>
        <w:gridCol w:w="196"/>
        <w:gridCol w:w="511"/>
        <w:gridCol w:w="346"/>
        <w:gridCol w:w="481"/>
        <w:gridCol w:w="346"/>
        <w:gridCol w:w="196"/>
        <w:gridCol w:w="736"/>
        <w:gridCol w:w="346"/>
        <w:gridCol w:w="196"/>
        <w:gridCol w:w="511"/>
        <w:gridCol w:w="346"/>
        <w:gridCol w:w="481"/>
        <w:gridCol w:w="286"/>
      </w:tblGrid>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2"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67360" cy="175260"/>
                      <wp:effectExtent l="0" t="0" r="0" b="0"/>
                      <wp:wrapNone/>
                      <wp:docPr id="73" name="Frame7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24485" cy="175260"/>
                      <wp:effectExtent l="0" t="0" r="0" b="0"/>
                      <wp:wrapNone/>
                      <wp:docPr id="76" name="Frame7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05435" cy="175260"/>
                      <wp:effectExtent l="0" t="0" r="0" b="0"/>
                      <wp:wrapNone/>
                      <wp:docPr id="78" name="Frame7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9235" cy="175260"/>
                      <wp:effectExtent l="0" t="0" r="0" b="0"/>
                      <wp:wrapNone/>
                      <wp:docPr id="79" name="Frame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80"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67360" cy="175260"/>
                      <wp:effectExtent l="0" t="0" r="0" b="0"/>
                      <wp:wrapNone/>
                      <wp:docPr id="81" name="Frame8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24485" cy="175260"/>
                      <wp:effectExtent l="0" t="0" r="0" b="0"/>
                      <wp:wrapNone/>
                      <wp:docPr id="84" name="Frame8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05435" cy="175260"/>
                      <wp:effectExtent l="0" t="0" r="0" b="0"/>
                      <wp:wrapNone/>
                      <wp:docPr id="86" name="Frame8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67360" cy="175260"/>
                      <wp:effectExtent l="0" t="0" r="0" b="0"/>
                      <wp:wrapNone/>
                      <wp:docPr id="89" name="Frame8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24485" cy="175260"/>
                      <wp:effectExtent l="0" t="0" r="0" b="0"/>
                      <wp:wrapNone/>
                      <wp:docPr id="92" name="Frame9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05435" cy="175260"/>
                      <wp:effectExtent l="0" t="0" r="0" b="0"/>
                      <wp:wrapNone/>
                      <wp:docPr id="94" name="Frame9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81610" cy="175260"/>
                      <wp:effectExtent l="0" t="0" r="0" b="0"/>
                      <wp:wrapNone/>
                      <wp:docPr id="95" name="Frame9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Balances and Interest Rates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4</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1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281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81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1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61" w:type="dxa"/>
            <w:tcBorders/>
            <w:vAlign w:val="center"/>
          </w:tcPr>
          <w:p>
            <w:pPr>
              <w:pStyle w:val="TableContents"/>
              <w:bidi w:val="0"/>
              <w:spacing w:before="0" w:after="1"/>
              <w:ind w:left="0" w:right="0" w:hanging="0"/>
              <w:jc w:val="left"/>
              <w:rPr/>
            </w:pPr>
            <w:r>
              <w:rPr/>
              <w:t>​</w:t>
            </w:r>
          </w:p>
        </w:tc>
        <w:tc>
          <w:tcPr>
            <w:tcW w:w="281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w:t>
            </w:r>
          </w:p>
        </w:tc>
        <w:tc>
          <w:tcPr>
            <w:tcW w:w="281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61"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286" w:type="dxa"/>
            <w:tcBorders/>
            <w:vAlign w:val="center"/>
          </w:tcPr>
          <w:p>
            <w:pPr>
              <w:pStyle w:val="TableContents"/>
              <w:bidi w:val="0"/>
              <w:spacing w:before="0" w:after="1"/>
              <w:ind w:left="0" w:right="0" w:hanging="0"/>
              <w:jc w:val="left"/>
              <w:rPr/>
            </w:pPr>
            <w:r>
              <w:rPr/>
              <w:t> </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1,142.4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3.68</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2,081.7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15.8</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3.05</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Non-Taxable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4.42</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Held-to-Maturity Investment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2,860.7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12.1</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1.69</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Non-Taxable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590.3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2.23</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592.6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5,533.1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2.26</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5,560.6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5,567.0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Held for 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5.68</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6.86</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and Leases</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2,275.4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5.69</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6.16</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4,736.0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67.6</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5.73</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4,608.4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4,392.5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6.11</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770.2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6.48</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6.66</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4,038.8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40.9</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4.05</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3.92</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1,181.8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4.82</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Consumer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1,044.1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20.1</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7.74</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1,034.5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1,013.9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3.51</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Loans and Leases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14,488.2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191.4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5.30</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14,289.4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187.0</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14,288.9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194.0</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5.44</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2.36</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Earning Assets</w:t>
            </w:r>
            <w:r>
              <w:rPr>
                <w:rFonts w:ascii="Times New Roman;Times;serif" w:hAnsi="Times New Roman;Times;serif"/>
                <w:sz w:val="12"/>
              </w:rPr>
              <w:t>(2)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21,193.0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233.3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4.41</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21,332.6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230.7</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21,167.6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Due from Banks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2,522.3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2,469.5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23,954.4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24,083.3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23,859.4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Interest-Bearing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Savings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6,407.4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19.6</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6,247.5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Money Market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4,321.3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1.81</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4,358.9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3,275.3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22.1</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2.71</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Interest-Bearing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14,004.0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1.75</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14,144.7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13,459.0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Short-Term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Interest-Bearing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3.16</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14,023.5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1.76</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14,157.2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13,729.8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Interest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171.9</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Rate Spread</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Interest Margin</w:t>
            </w:r>
            <w:r>
              <w:rPr>
                <w:rFonts w:ascii="Times New Roman;Times;serif" w:hAnsi="Times New Roman;Times;serif"/>
                <w:sz w:val="12"/>
              </w:rPr>
              <w:t>(4)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3.25</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Noninterest-Bearing Demand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6,479.3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6,478.9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6,821.0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2,796.9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23,954.4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24,083.3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23,859.4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Non-performing loans and leases are included in the respective average loan and lease balances. Income, if any, on such loans and leases is recognized on a cash basis.</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Interest income includes taxable-equivalent basis adjustments of $0.9 million, $1.0 million and $0.8 million for the three months ended June 30, 2026, March 31, 2026 and June 30, 2025, respectively.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 xml:space="preserve">Interest rate spread is the difference between the average yield on earning assets and the average rate paid on interest-bearing liabilities, on a fully taxable-equivalent basis.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Net interest margin is net interest income annualized for the three months ended June 30, 2026, March 31, 2026 and June 30, 2025, on a fully taxable-equivalent basis, divided by average total earning assets.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104"/>
        <w:gridCol w:w="346"/>
        <w:gridCol w:w="211"/>
        <w:gridCol w:w="826"/>
        <w:gridCol w:w="346"/>
        <w:gridCol w:w="211"/>
        <w:gridCol w:w="571"/>
        <w:gridCol w:w="346"/>
        <w:gridCol w:w="512"/>
        <w:gridCol w:w="391"/>
        <w:gridCol w:w="211"/>
        <w:gridCol w:w="826"/>
        <w:gridCol w:w="346"/>
        <w:gridCol w:w="211"/>
        <w:gridCol w:w="571"/>
        <w:gridCol w:w="346"/>
        <w:gridCol w:w="512"/>
        <w:gridCol w:w="318"/>
      </w:tblGrid>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24510" cy="175260"/>
                      <wp:effectExtent l="0" t="0" r="0" b="0"/>
                      <wp:wrapNone/>
                      <wp:docPr id="98" name="Frame9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62585" cy="175260"/>
                      <wp:effectExtent l="0" t="0" r="0" b="0"/>
                      <wp:wrapNone/>
                      <wp:docPr id="101" name="Frame1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25120" cy="175260"/>
                      <wp:effectExtent l="0" t="0" r="0" b="0"/>
                      <wp:wrapNone/>
                      <wp:docPr id="103" name="Frame102"/>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8285" cy="175260"/>
                      <wp:effectExtent l="0" t="0" r="0" b="0"/>
                      <wp:wrapNone/>
                      <wp:docPr id="104" name="Frame10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24510" cy="175260"/>
                      <wp:effectExtent l="0" t="0" r="0" b="0"/>
                      <wp:wrapNone/>
                      <wp:docPr id="106" name="Frame10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109" name="Frame1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25120" cy="175260"/>
                      <wp:effectExtent l="0" t="0" r="0" b="0"/>
                      <wp:wrapNone/>
                      <wp:docPr id="111" name="Frame110"/>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1930" cy="175260"/>
                      <wp:effectExtent l="0" t="0" r="0" b="0"/>
                      <wp:wrapNone/>
                      <wp:docPr id="112" name="Frame11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Balances and Interest Rates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5</w:t>
            </w:r>
          </w:p>
        </w:tc>
      </w:tr>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3"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1"/>
              <w:ind w:left="0" w:right="0" w:hanging="0"/>
              <w:jc w:val="left"/>
              <w:rPr/>
            </w:pPr>
            <w:r>
              <w:rPr/>
              <w:t>​</w:t>
            </w:r>
          </w:p>
        </w:tc>
        <w:tc>
          <w:tcPr>
            <w:tcW w:w="3023"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91" w:type="dxa"/>
            <w:tcBorders/>
            <w:vAlign w:val="center"/>
          </w:tcPr>
          <w:p>
            <w:pPr>
              <w:pStyle w:val="TableContents"/>
              <w:bidi w:val="0"/>
              <w:spacing w:before="0" w:after="1"/>
              <w:ind w:left="0" w:right="0" w:hanging="0"/>
              <w:jc w:val="left"/>
              <w:rPr/>
            </w:pPr>
            <w:r>
              <w:rPr/>
              <w:t>​</w:t>
            </w:r>
          </w:p>
        </w:tc>
        <w:tc>
          <w:tcPr>
            <w:tcW w:w="302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91" w:type="dxa"/>
            <w:tcBorders/>
            <w:vAlign w:val="center"/>
          </w:tcPr>
          <w:p>
            <w:pPr>
              <w:pStyle w:val="TableContents"/>
              <w:bidi w:val="0"/>
              <w:spacing w:before="0" w:after="1"/>
              <w:ind w:left="0" w:right="0" w:hanging="0"/>
              <w:jc w:val="left"/>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91"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 Assets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  ​</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1,297.9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3.68</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2.98</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4.71</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Held-to-Maturity Investment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2,888.4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24.1</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5,546.7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61.6</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Held for Sale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5.79</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and Leases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63.1</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5.72</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4,672.5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5.73</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6.48</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4,060.2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81.9</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4.03</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27.8</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4.76</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40.1</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7.79</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3.63</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Loans and Leases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14,389.4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378.4</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5.29</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386.7</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0.3</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2.44</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Earning Assets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21,262.4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464.0</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4.39</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21,168.4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473.9</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Due from Banks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2,523.3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24,018.5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23,874.8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Interest-Bearing Deposits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6,406.0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38.5</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4,340.0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39.3</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3,328.0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45.5</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Interest-Bearing Deposits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14,074.0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123.3</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Short-Term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Interest-Bearing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0.2</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3.25</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14,090.0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123.5</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340.5</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326.1</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Spread</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Interest Margin</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Noninterest-Bearing Demand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6,479.1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2,792.9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24,018.5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23,874.8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Non-performing loans and leases are included in the respective average loan and lease balances. Income, if any, on such loans and leases is recognized on a cash basis.</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100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Interest income includes taxable-equivalent basis adjustments of $2.0 million for both the six months ended June 30, 2026 and 2025.</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 xml:space="preserve">Interest rate spread is the difference between the average yield on earning assets and the average rate paid on interest-bearing liabilities, on a fully taxable-equivalent basis.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Net interest margin is net interest income annualized for the six months ended June 30, 2026 and 2025, on a fully taxable-equivalent basis, divided by average total earning assets.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6409" w:type="dxa"/>
        <w:jc w:val="left"/>
        <w:tblInd w:w="0" w:type="dxa"/>
        <w:tblLayout w:type="fixed"/>
        <w:tblCellMar>
          <w:top w:w="0" w:type="dxa"/>
          <w:left w:w="0" w:type="dxa"/>
          <w:bottom w:w="0" w:type="dxa"/>
          <w:right w:w="0" w:type="dxa"/>
        </w:tblCellMar>
      </w:tblPr>
      <w:tblGrid>
        <w:gridCol w:w="3166"/>
        <w:gridCol w:w="346"/>
        <w:gridCol w:w="220"/>
        <w:gridCol w:w="451"/>
        <w:gridCol w:w="346"/>
        <w:gridCol w:w="196"/>
        <w:gridCol w:w="451"/>
        <w:gridCol w:w="346"/>
        <w:gridCol w:w="196"/>
        <w:gridCol w:w="6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10410" cy="175260"/>
                      <wp:effectExtent l="0" t="0" r="0" b="0"/>
                      <wp:wrapNone/>
                      <wp:docPr id="113" name="Frame112"/>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38785" cy="175260"/>
                      <wp:effectExtent l="0" t="0" r="0" b="0"/>
                      <wp:wrapNone/>
                      <wp:docPr id="114" name="Frame1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Analysis of Change in Net Interest Income</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6</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97"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9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Compared to March 31, 2026</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w:t>
            </w:r>
          </w:p>
        </w:tc>
        <w:tc>
          <w:tcPr>
            <w:tcW w:w="6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46" w:type="dxa"/>
            <w:tcBorders/>
            <w:vAlign w:val="center"/>
          </w:tcPr>
          <w:p>
            <w:pPr>
              <w:pStyle w:val="TableContents"/>
              <w:bidi w:val="0"/>
              <w:spacing w:before="0" w:after="1"/>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xml:space="preserve"> </w:t>
            </w:r>
            <w:r>
              <w:rPr>
                <w:rFonts w:ascii="Times New Roman;Times;serif" w:hAnsi="Times New Roman;Times;serif"/>
                <w:b/>
                <w:sz w:val="12"/>
              </w:rPr>
              <w:t>(1)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Income:</w:t>
            </w:r>
          </w:p>
        </w:tc>
        <w:tc>
          <w:tcPr>
            <w:tcW w:w="346" w:type="dxa"/>
            <w:tcBorders/>
            <w:shd w:fill="CCEEFF" w:val="clear"/>
            <w:vAlign w:val="center"/>
          </w:tcPr>
          <w:p>
            <w:pPr>
              <w:pStyle w:val="TableContents"/>
              <w:bidi w:val="0"/>
              <w:spacing w:before="0" w:after="1"/>
              <w:ind w:left="0" w:right="0" w:hanging="0"/>
              <w:jc w:val="left"/>
              <w:rPr/>
            </w:pPr>
            <w:r>
              <w:rPr/>
              <w:t>  ​ ​ ​</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Held-to-Maturity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Non-Taxable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0.8</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mortgage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 line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financing</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Earning Assets</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Expense</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(0.8)</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3.4</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change in interest income and expense not solely due to changes in volume or rate has been allocated on a pro-rata basis to the volume and rate columns.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6499" w:type="dxa"/>
        <w:jc w:val="left"/>
        <w:tblInd w:w="0" w:type="dxa"/>
        <w:tblLayout w:type="fixed"/>
        <w:tblCellMar>
          <w:top w:w="0" w:type="dxa"/>
          <w:left w:w="0" w:type="dxa"/>
          <w:bottom w:w="0" w:type="dxa"/>
          <w:right w:w="0" w:type="dxa"/>
        </w:tblCellMar>
      </w:tblPr>
      <w:tblGrid>
        <w:gridCol w:w="3166"/>
        <w:gridCol w:w="346"/>
        <w:gridCol w:w="220"/>
        <w:gridCol w:w="451"/>
        <w:gridCol w:w="346"/>
        <w:gridCol w:w="196"/>
        <w:gridCol w:w="541"/>
        <w:gridCol w:w="346"/>
        <w:gridCol w:w="196"/>
        <w:gridCol w:w="6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10410" cy="175260"/>
                      <wp:effectExtent l="0" t="0" r="0" b="0"/>
                      <wp:wrapNone/>
                      <wp:docPr id="115" name="Frame11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8785" cy="175260"/>
                      <wp:effectExtent l="0" t="0" r="0" b="0"/>
                      <wp:wrapNone/>
                      <wp:docPr id="116" name="Frame1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Analysis of Change in Net Interest Income</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7</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87"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Compared to June 30, 2025</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w:t>
            </w:r>
          </w:p>
        </w:tc>
        <w:tc>
          <w:tcPr>
            <w:tcW w:w="6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46" w:type="dxa"/>
            <w:tcBorders/>
            <w:vAlign w:val="center"/>
          </w:tcPr>
          <w:p>
            <w:pPr>
              <w:pStyle w:val="TableContents"/>
              <w:bidi w:val="0"/>
              <w:spacing w:before="0" w:after="1"/>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 xml:space="preserve">Total </w:t>
            </w:r>
            <w:r>
              <w:rPr>
                <w:rFonts w:ascii="Times New Roman;Times;serif" w:hAnsi="Times New Roman;Times;serif"/>
                <w:b/>
                <w:sz w:val="12"/>
              </w:rPr>
              <w:t>(1)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Income:</w:t>
            </w:r>
          </w:p>
        </w:tc>
        <w:tc>
          <w:tcPr>
            <w:tcW w:w="346" w:type="dxa"/>
            <w:tcBorders/>
            <w:shd w:fill="CCEEFF" w:val="clear"/>
            <w:vAlign w:val="center"/>
          </w:tcPr>
          <w:p>
            <w:pPr>
              <w:pStyle w:val="TableContents"/>
              <w:bidi w:val="0"/>
              <w:spacing w:before="0" w:after="1"/>
              <w:ind w:left="0" w:right="0" w:hanging="0"/>
              <w:jc w:val="left"/>
              <w:rPr/>
            </w:pPr>
            <w:r>
              <w:rPr/>
              <w:t>  ​ ​ ​</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(3.6)</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Held-to-Maturity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and Leases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(2.9)</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Construction</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(2.5)</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mortgage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 line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0.8</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financing</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Earning Assets</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(4.2)</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Short-Term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Expense</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7.5</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change in interest income and expense not solely due to changes in volume or rate has been allocated on a pro-rata basis to the volume and rate columns.</w:t>
            </w:r>
          </w:p>
        </w:tc>
      </w:tr>
    </w:tbl>
    <w:p>
      <w:pPr>
        <w:pStyle w:val="HorizontalLine"/>
        <w:pBdr>
          <w:bottom w:val="double" w:sz="2" w:space="0" w:color="808080"/>
        </w:pBdr>
        <w:bidi w:val="0"/>
        <w:spacing w:before="0" w:after="283"/>
        <w:jc w:val="left"/>
        <w:rPr/>
      </w:pPr>
      <w:r>
        <w:rPr/>
      </w:r>
    </w:p>
    <w:tbl>
      <w:tblPr>
        <w:tblW w:w="6499" w:type="dxa"/>
        <w:jc w:val="left"/>
        <w:tblInd w:w="0" w:type="dxa"/>
        <w:tblLayout w:type="fixed"/>
        <w:tblCellMar>
          <w:top w:w="0" w:type="dxa"/>
          <w:left w:w="0" w:type="dxa"/>
          <w:bottom w:w="0" w:type="dxa"/>
          <w:right w:w="0" w:type="dxa"/>
        </w:tblCellMar>
      </w:tblPr>
      <w:tblGrid>
        <w:gridCol w:w="3166"/>
        <w:gridCol w:w="346"/>
        <w:gridCol w:w="220"/>
        <w:gridCol w:w="451"/>
        <w:gridCol w:w="346"/>
        <w:gridCol w:w="196"/>
        <w:gridCol w:w="541"/>
        <w:gridCol w:w="346"/>
        <w:gridCol w:w="196"/>
        <w:gridCol w:w="6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10410" cy="175260"/>
                      <wp:effectExtent l="0" t="0" r="0" b="0"/>
                      <wp:wrapNone/>
                      <wp:docPr id="117" name="Frame116"/>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9700" cy="175260"/>
                      <wp:effectExtent l="0" t="0" r="0" b="0"/>
                      <wp:wrapNone/>
                      <wp:docPr id="119" name="Frame11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4460" cy="175260"/>
                      <wp:effectExtent l="0" t="0" r="0" b="0"/>
                      <wp:wrapNone/>
                      <wp:docPr id="121" name="Frame1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8785" cy="175260"/>
                      <wp:effectExtent l="0" t="0" r="0" b="0"/>
                      <wp:wrapNone/>
                      <wp:docPr id="123" name="Frame1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Analysis of Change in Net Interest Income</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8</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87"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Compared to June 30, 2025</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6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46" w:type="dxa"/>
            <w:tcBorders/>
            <w:vAlign w:val="center"/>
          </w:tcPr>
          <w:p>
            <w:pPr>
              <w:pStyle w:val="TableContents"/>
              <w:bidi w:val="0"/>
              <w:spacing w:before="0" w:after="1"/>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 xml:space="preserve">Total </w:t>
            </w:r>
            <w:r>
              <w:rPr>
                <w:rFonts w:ascii="Times New Roman;Times;serif" w:hAnsi="Times New Roman;Times;serif"/>
                <w:b/>
                <w:sz w:val="12"/>
              </w:rPr>
              <w:t>(1)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Held-to-Maturity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Non-Taxable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Construction</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(5.6)</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mortgage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 line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financing</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 and Leases</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Income</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(9.9)</w:t>
            </w:r>
          </w:p>
        </w:tc>
      </w:tr>
      <w:tr>
        <w:trPr/>
        <w:tc>
          <w:tcPr>
            <w:tcW w:w="3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Expense: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(6.5)</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(8.5)</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Short-Term Borrowings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Expense</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(24.3)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14.4</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change in interest income and expense not solely due to changes in volume or rate has been allocated on a pro-rata basis to the volume and rate columns.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758" w:type="dxa"/>
        <w:jc w:val="left"/>
        <w:tblInd w:w="0" w:type="dxa"/>
        <w:tblLayout w:type="fixed"/>
        <w:tblCellMar>
          <w:top w:w="0" w:type="dxa"/>
          <w:left w:w="0" w:type="dxa"/>
          <w:bottom w:w="0" w:type="dxa"/>
          <w:right w:w="0" w:type="dxa"/>
        </w:tblCellMar>
      </w:tblPr>
      <w:tblGrid>
        <w:gridCol w:w="2281"/>
        <w:gridCol w:w="346"/>
        <w:gridCol w:w="211"/>
        <w:gridCol w:w="1036"/>
        <w:gridCol w:w="346"/>
        <w:gridCol w:w="211"/>
        <w:gridCol w:w="1036"/>
        <w:gridCol w:w="346"/>
        <w:gridCol w:w="211"/>
        <w:gridCol w:w="1036"/>
        <w:gridCol w:w="346"/>
        <w:gridCol w:w="211"/>
        <w:gridCol w:w="114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48435" cy="175260"/>
                      <wp:effectExtent l="0" t="0" r="0" b="0"/>
                      <wp:wrapNone/>
                      <wp:docPr id="124" name="Frame123"/>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57860" cy="175260"/>
                      <wp:effectExtent l="0" t="0" r="0" b="0"/>
                      <wp:wrapNone/>
                      <wp:docPr id="127" name="Frame1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57860" cy="175260"/>
                      <wp:effectExtent l="0" t="0" r="0" b="0"/>
                      <wp:wrapNone/>
                      <wp:docPr id="130" name="Frame1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57860" cy="175260"/>
                      <wp:effectExtent l="0" t="0" r="0" b="0"/>
                      <wp:wrapNone/>
                      <wp:docPr id="133" name="Frame1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24535" cy="175260"/>
                      <wp:effectExtent l="0" t="0" r="0" b="0"/>
                      <wp:wrapNone/>
                      <wp:docPr id="136" name="Frame13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Loans and Leases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9</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2,339,882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2,370,210</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4,783,130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4,715,741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4,590,326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4,411,585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731,766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808,275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884,306</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4,044,207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4,063,933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4,085,827</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1,181,396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1,176,228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1,178,527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1,161,876</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5,225,603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5,240,161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5,247,703</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1,046,461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1,030,002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1,025,838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1,011,125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450,457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426,940</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leases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14,577,299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14,440,835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14,312,529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14,351,869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098" w:type="dxa"/>
        <w:jc w:val="left"/>
        <w:tblInd w:w="0" w:type="dxa"/>
        <w:tblLayout w:type="fixed"/>
        <w:tblCellMar>
          <w:top w:w="0" w:type="dxa"/>
          <w:left w:w="0" w:type="dxa"/>
          <w:bottom w:w="0" w:type="dxa"/>
          <w:right w:w="0" w:type="dxa"/>
        </w:tblCellMar>
      </w:tblPr>
      <w:tblGrid>
        <w:gridCol w:w="1621"/>
        <w:gridCol w:w="346"/>
        <w:gridCol w:w="211"/>
        <w:gridCol w:w="1036"/>
        <w:gridCol w:w="346"/>
        <w:gridCol w:w="211"/>
        <w:gridCol w:w="1036"/>
        <w:gridCol w:w="346"/>
        <w:gridCol w:w="211"/>
        <w:gridCol w:w="1036"/>
        <w:gridCol w:w="346"/>
        <w:gridCol w:w="211"/>
        <w:gridCol w:w="1141"/>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029335" cy="175260"/>
                      <wp:effectExtent l="0" t="0" r="0" b="0"/>
                      <wp:wrapNone/>
                      <wp:docPr id="137" name="Frame136"/>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57860" cy="175260"/>
                      <wp:effectExtent l="0" t="0" r="0" b="0"/>
                      <wp:wrapNone/>
                      <wp:docPr id="140" name="Frame1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57860" cy="175260"/>
                      <wp:effectExtent l="0" t="0" r="0" b="0"/>
                      <wp:wrapNone/>
                      <wp:docPr id="143" name="Frame1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57860" cy="175260"/>
                      <wp:effectExtent l="0" t="0" r="0" b="0"/>
                      <wp:wrapNone/>
                      <wp:docPr id="146" name="Frame1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24535" cy="175260"/>
                      <wp:effectExtent l="0" t="0" r="0" b="0"/>
                      <wp:wrapNone/>
                      <wp:docPr id="149" name="Frame14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Deposits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10</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6,447,789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6,520,063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6,547,292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6,844,432</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6,132,746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6,566,192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6,308,873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6,219,801</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4,283,982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4,310,474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4,289,370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3,777,681</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3,289,664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3,380,624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3,370,133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3,389,505</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20,154,181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20,777,353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20,515,668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20,231,419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4250"/>
        <w:gridCol w:w="346"/>
        <w:gridCol w:w="196"/>
        <w:gridCol w:w="916"/>
        <w:gridCol w:w="346"/>
        <w:gridCol w:w="196"/>
        <w:gridCol w:w="916"/>
        <w:gridCol w:w="346"/>
        <w:gridCol w:w="199"/>
        <w:gridCol w:w="930"/>
        <w:gridCol w:w="346"/>
        <w:gridCol w:w="196"/>
        <w:gridCol w:w="1022"/>
      </w:tblGrid>
      <w:tr>
        <w:trPr/>
        <w:tc>
          <w:tcPr>
            <w:tcW w:w="4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698750" cy="175260"/>
                      <wp:effectExtent l="0" t="0" r="0" b="0"/>
                      <wp:wrapNone/>
                      <wp:docPr id="150" name="Frame149"/>
                      <a:graphic xmlns:a="http://schemas.openxmlformats.org/drawingml/2006/main">
                        <a:graphicData uri="http://schemas.microsoft.com/office/word/2010/wordprocessingShape">
                          <wps:wsp>
                            <wps:cNvSpPr txBox="1"/>
                            <wps:spPr>
                              <a:xfrm>
                                <a:off x="0" y="0"/>
                                <a:ext cx="269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52"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81660" cy="175260"/>
                      <wp:effectExtent l="0" t="0" r="0" b="0"/>
                      <wp:wrapNone/>
                      <wp:docPr id="153" name="Frame15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4460" cy="175260"/>
                      <wp:effectExtent l="0" t="0" r="0" b="0"/>
                      <wp:wrapNone/>
                      <wp:docPr id="155"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81660" cy="175260"/>
                      <wp:effectExtent l="0" t="0" r="0" b="0"/>
                      <wp:wrapNone/>
                      <wp:docPr id="156" name="Frame15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6365" cy="175260"/>
                      <wp:effectExtent l="0" t="0" r="0" b="0"/>
                      <wp:wrapNone/>
                      <wp:docPr id="158" name="Frame157"/>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90550" cy="175260"/>
                      <wp:effectExtent l="0" t="0" r="0" b="0"/>
                      <wp:wrapNone/>
                      <wp:docPr id="159" name="Frame158"/>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460" cy="175260"/>
                      <wp:effectExtent l="0" t="0" r="0" b="0"/>
                      <wp:wrapNone/>
                      <wp:docPr id="161" name="Frame1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970" cy="175260"/>
                      <wp:effectExtent l="0" t="0" r="0" b="0"/>
                      <wp:wrapNone/>
                      <wp:docPr id="162" name="Frame161"/>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Non-Performing Assets and Accruing Loans and Leases Past Due 90 Days or More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11</w:t>
            </w:r>
          </w:p>
        </w:tc>
      </w:tr>
      <w:tr>
        <w:trPr/>
        <w:tc>
          <w:tcPr>
            <w:tcW w:w="42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Non-Performing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Non-Accrual Loans and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Loans: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4,960</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8,805</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2,952</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9,401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10,391</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14,334</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5,273</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18,675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17,665</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15,032</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11,425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11,624</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8,286</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Loans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30,100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29,289</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26,694</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23,318</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Non-Accrual Loans and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39,501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39,680</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41,028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28,591</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Non-Performing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39,501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39,680</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41,028</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28,591</w:t>
            </w:r>
          </w:p>
        </w:tc>
      </w:tr>
      <w:tr>
        <w:trPr/>
        <w:tc>
          <w:tcPr>
            <w:tcW w:w="42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Accruing Loans and Leases Past Due 90 Days or More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942</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3,620</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3,187</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Accruing Loans and Leases Past Due 90 Days or More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4,344</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3,357</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4,438</w:t>
            </w:r>
          </w:p>
        </w:tc>
      </w:tr>
      <w:tr>
        <w:trPr/>
        <w:tc>
          <w:tcPr>
            <w:tcW w:w="42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425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and Leases</w:t>
            </w:r>
          </w:p>
        </w:tc>
        <w:tc>
          <w:tcPr>
            <w:tcW w:w="346"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14,577,299</w:t>
            </w:r>
          </w:p>
        </w:tc>
        <w:tc>
          <w:tcPr>
            <w:tcW w:w="346"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14,440,835</w:t>
            </w:r>
          </w:p>
        </w:tc>
        <w:tc>
          <w:tcPr>
            <w:tcW w:w="346" w:type="dxa"/>
            <w:tcBorders/>
            <w:vAlign w:val="center"/>
          </w:tcPr>
          <w:p>
            <w:pPr>
              <w:pStyle w:val="TableContents"/>
              <w:bidi w:val="0"/>
              <w:spacing w:before="0" w:after="0"/>
              <w:ind w:left="0" w:right="0" w:hanging="0"/>
              <w:jc w:val="center"/>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14,312,529</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14,351,869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599"/>
        <w:gridCol w:w="346"/>
        <w:gridCol w:w="196"/>
        <w:gridCol w:w="916"/>
        <w:gridCol w:w="361"/>
        <w:gridCol w:w="196"/>
        <w:gridCol w:w="916"/>
        <w:gridCol w:w="346"/>
        <w:gridCol w:w="196"/>
        <w:gridCol w:w="916"/>
        <w:gridCol w:w="346"/>
        <w:gridCol w:w="196"/>
        <w:gridCol w:w="916"/>
        <w:gridCol w:w="361"/>
        <w:gridCol w:w="196"/>
        <w:gridCol w:w="916"/>
        <w:gridCol w:w="286"/>
      </w:tblGrid>
      <w:tr>
        <w:trPr/>
        <w:tc>
          <w:tcPr>
            <w:tcW w:w="2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50365" cy="175260"/>
                      <wp:effectExtent l="0" t="0" r="0" b="0"/>
                      <wp:wrapNone/>
                      <wp:docPr id="163" name="Frame162"/>
                      <a:graphic xmlns:a="http://schemas.openxmlformats.org/drawingml/2006/main">
                        <a:graphicData uri="http://schemas.microsoft.com/office/word/2010/wordprocessingShape">
                          <wps:wsp>
                            <wps:cNvSpPr txBox="1"/>
                            <wps:spPr>
                              <a:xfrm>
                                <a:off x="0" y="0"/>
                                <a:ext cx="165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4460" cy="175260"/>
                      <wp:effectExtent l="0" t="0" r="0" b="0"/>
                      <wp:wrapNone/>
                      <wp:docPr id="165" name="Frame1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81660" cy="175260"/>
                      <wp:effectExtent l="0" t="0" r="0" b="0"/>
                      <wp:wrapNone/>
                      <wp:docPr id="166" name="Frame16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9235" cy="175260"/>
                      <wp:effectExtent l="0" t="0" r="0" b="0"/>
                      <wp:wrapNone/>
                      <wp:docPr id="167" name="Frame1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460" cy="175260"/>
                      <wp:effectExtent l="0" t="0" r="0" b="0"/>
                      <wp:wrapNone/>
                      <wp:docPr id="168"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81660" cy="175260"/>
                      <wp:effectExtent l="0" t="0" r="0" b="0"/>
                      <wp:wrapNone/>
                      <wp:docPr id="169" name="Frame16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71"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81660" cy="175260"/>
                      <wp:effectExtent l="0" t="0" r="0" b="0"/>
                      <wp:wrapNone/>
                      <wp:docPr id="172" name="Frame17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74"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81660" cy="175260"/>
                      <wp:effectExtent l="0" t="0" r="0" b="0"/>
                      <wp:wrapNone/>
                      <wp:docPr id="175" name="Frame17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9235" cy="175260"/>
                      <wp:effectExtent l="0" t="0" r="0" b="0"/>
                      <wp:wrapNone/>
                      <wp:docPr id="176" name="Frame1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81660" cy="175260"/>
                      <wp:effectExtent l="0" t="0" r="0" b="0"/>
                      <wp:wrapNone/>
                      <wp:docPr id="178" name="Frame17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1610" cy="175260"/>
                      <wp:effectExtent l="0" t="0" r="0" b="0"/>
                      <wp:wrapNone/>
                      <wp:docPr id="179" name="Frame17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Allowance for Credit Losses and Reserve for Unfunded Commitments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0" w:type="dxa"/>
            <w:gridSpan w:val="15"/>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12</w:t>
            </w:r>
          </w:p>
        </w:tc>
      </w:tr>
      <w:tr>
        <w:trPr/>
        <w:tc>
          <w:tcPr>
            <w:tcW w:w="25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204,265</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204,165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199,959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204,165</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193,240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and Leases Charged-Off</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(769)</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(3,394)</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(2,147)</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(769)</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(3,394)</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(2,229)</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(5,490)</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(10,334)</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(9,568)</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and Leases Charged-Off</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(6,282)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(13,751)</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(11,827)</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 on Loans and Leases Previously Charged-Off</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547</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550</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Loans: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96</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1,820</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4,068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3,684</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Recoveries on Loans and Leases Previously Charged-Off</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2,145</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4,714</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4,759</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Loans and Leases Charged-Off</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(4,137)</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(9,037)</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(7,068)</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5,600</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10,600</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205,728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204,265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205,728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201,172</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168,056</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169,318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167,825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168,056</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167,825</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Reserve for Unfunded Commitments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37,672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37,672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33,347</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Allowance for Credit Losses and Reserve for Unfunded Commitments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205,728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204,265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205,728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201,172</w:t>
            </w:r>
          </w:p>
        </w:tc>
        <w:tc>
          <w:tcPr>
            <w:tcW w:w="286"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Loans and Leases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14,488,213</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14,289,418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14,288,918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14,389,365</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14,299,400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Net Loans and Leases Charged-Off to Average Loans and Leases Outstanding</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0.11</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0.13</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Allowance for Credit Losses for Loans and Leases to Loans and Leases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Allowance for Credit Losses for Loans and Leases to Non-accrual Loans and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4.25x</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4.27x</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5.87x</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4.25x</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5.87x</w:t>
            </w:r>
          </w:p>
        </w:tc>
        <w:tc>
          <w:tcPr>
            <w:tcW w:w="286"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9340" w:type="dxa"/>
        <w:jc w:val="left"/>
        <w:tblInd w:w="0" w:type="dxa"/>
        <w:tblLayout w:type="fixed"/>
        <w:tblCellMar>
          <w:top w:w="0" w:type="dxa"/>
          <w:left w:w="0" w:type="dxa"/>
          <w:bottom w:w="0" w:type="dxa"/>
          <w:right w:w="0" w:type="dxa"/>
        </w:tblCellMar>
      </w:tblPr>
      <w:tblGrid>
        <w:gridCol w:w="185"/>
        <w:gridCol w:w="9155"/>
      </w:tblGrid>
      <w:tr>
        <w:trPr/>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Annualized for the three and six months ended June 30, 2026 and 2025 and three months ended March 31, 2026.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1627"/>
        <w:gridCol w:w="109"/>
        <w:gridCol w:w="181"/>
        <w:gridCol w:w="586"/>
        <w:gridCol w:w="109"/>
        <w:gridCol w:w="181"/>
        <w:gridCol w:w="691"/>
        <w:gridCol w:w="109"/>
        <w:gridCol w:w="181"/>
        <w:gridCol w:w="586"/>
        <w:gridCol w:w="109"/>
        <w:gridCol w:w="181"/>
        <w:gridCol w:w="586"/>
        <w:gridCol w:w="109"/>
        <w:gridCol w:w="181"/>
        <w:gridCol w:w="691"/>
        <w:gridCol w:w="109"/>
        <w:gridCol w:w="181"/>
        <w:gridCol w:w="691"/>
        <w:gridCol w:w="109"/>
        <w:gridCol w:w="181"/>
        <w:gridCol w:w="691"/>
        <w:gridCol w:w="109"/>
        <w:gridCol w:w="226"/>
        <w:gridCol w:w="645"/>
        <w:gridCol w:w="109"/>
        <w:gridCol w:w="181"/>
        <w:gridCol w:w="756"/>
      </w:tblGrid>
      <w:tr>
        <w:trPr/>
        <w:tc>
          <w:tcPr>
            <w:tcW w:w="1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033145" cy="175260"/>
                      <wp:effectExtent l="0" t="0" r="0" b="0"/>
                      <wp:wrapNone/>
                      <wp:docPr id="180" name="Frame179"/>
                      <a:graphic xmlns:a="http://schemas.openxmlformats.org/drawingml/2006/main">
                        <a:graphicData uri="http://schemas.microsoft.com/office/word/2010/wordprocessingShape">
                          <wps:wsp>
                            <wps:cNvSpPr txBox="1"/>
                            <wps:spPr>
                              <a:xfrm>
                                <a:off x="0" y="0"/>
                                <a:ext cx="1033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14935" cy="175260"/>
                      <wp:effectExtent l="0" t="0" r="0" b="0"/>
                      <wp:wrapNone/>
                      <wp:docPr id="182" name="Frame1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72110" cy="175260"/>
                      <wp:effectExtent l="0" t="0" r="0" b="0"/>
                      <wp:wrapNone/>
                      <wp:docPr id="183" name="Frame18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14935" cy="175260"/>
                      <wp:effectExtent l="0" t="0" r="0" b="0"/>
                      <wp:wrapNone/>
                      <wp:docPr id="185" name="Frame1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8785" cy="175260"/>
                      <wp:effectExtent l="0" t="0" r="0" b="0"/>
                      <wp:wrapNone/>
                      <wp:docPr id="186" name="Frame1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14935" cy="175260"/>
                      <wp:effectExtent l="0" t="0" r="0" b="0"/>
                      <wp:wrapNone/>
                      <wp:docPr id="188" name="Frame1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72110" cy="175260"/>
                      <wp:effectExtent l="0" t="0" r="0" b="0"/>
                      <wp:wrapNone/>
                      <wp:docPr id="189" name="Frame18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14935" cy="175260"/>
                      <wp:effectExtent l="0" t="0" r="0" b="0"/>
                      <wp:wrapNone/>
                      <wp:docPr id="191" name="Frame1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72110" cy="175260"/>
                      <wp:effectExtent l="0" t="0" r="0" b="0"/>
                      <wp:wrapNone/>
                      <wp:docPr id="192" name="Frame19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4935" cy="175260"/>
                      <wp:effectExtent l="0" t="0" r="0" b="0"/>
                      <wp:wrapNone/>
                      <wp:docPr id="194" name="Frame19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38785" cy="175260"/>
                      <wp:effectExtent l="0" t="0" r="0" b="0"/>
                      <wp:wrapNone/>
                      <wp:docPr id="195" name="Frame1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4935" cy="175260"/>
                      <wp:effectExtent l="0" t="0" r="0" b="0"/>
                      <wp:wrapNone/>
                      <wp:docPr id="197" name="Frame19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14935" cy="175260"/>
                      <wp:effectExtent l="0" t="0" r="0" b="0"/>
                      <wp:wrapNone/>
                      <wp:docPr id="200" name="Frame1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3510" cy="175260"/>
                      <wp:effectExtent l="0" t="0" r="0" b="0"/>
                      <wp:wrapNone/>
                      <wp:docPr id="203" name="Frame2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09575" cy="175260"/>
                      <wp:effectExtent l="0" t="0" r="0" b="0"/>
                      <wp:wrapNone/>
                      <wp:docPr id="204" name="Frame203"/>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14935" cy="175260"/>
                      <wp:effectExtent l="0" t="0" r="0" b="0"/>
                      <wp:wrapNone/>
                      <wp:docPr id="206" name="Frame20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80060" cy="175260"/>
                      <wp:effectExtent l="0" t="0" r="0" b="0"/>
                      <wp:wrapNone/>
                      <wp:docPr id="207" name="Frame206"/>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59" w:type="dxa"/>
            <w:gridSpan w:val="25"/>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Loans and Leases by Year of Origination and Credit Quality Indicator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13</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62"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Loans</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Term</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6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 Basis by Origination Year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and Industrial</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121,498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265,147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116,522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63,411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57,461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302,522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1,229,183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30,382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2,186,126</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6,038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8,308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20,446</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2,334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2,998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18,736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15,143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40,419</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11,798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14,486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2,601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1,743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51,588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92,891</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133,880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286,358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126,770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68,929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65,533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323,808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1,304,222</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30,382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2,339,882</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3,394</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439,619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723,674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369,595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404,872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658,129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1,814,129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117,006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4,533,377</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3,623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1,652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104,548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71,474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2,376</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183,673</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969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37,564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16,219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5,207</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65,963</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440,588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723,674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378,527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407,219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800,241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1,901,939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124,589</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4,783,130</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pPr>
            <w:r>
              <w:rPr/>
              <w:t>—</w:t>
            </w:r>
          </w:p>
        </w:tc>
      </w:tr>
      <w:tr>
        <w:trPr/>
        <w:tc>
          <w:tcPr>
            <w:tcW w:w="162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55,488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124,793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219,701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61,476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169,561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31,308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44,234</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706,561</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904</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3,050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7,895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5,419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3,773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1,723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1,762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679</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24,301</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58,538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132,688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225,120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65,249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171,284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33,974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44,913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731,766</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pPr>
            <w:r>
              <w:rPr/>
              <w:t>—</w:t>
            </w:r>
          </w:p>
        </w:tc>
      </w:tr>
      <w:tr>
        <w:trPr/>
        <w:tc>
          <w:tcPr>
            <w:tcW w:w="162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 Financing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94,390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63,777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77,896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84,839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35,648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92,657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449,207</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570</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680</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 Financing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94,390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63,777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78,653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85,258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35,722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92,657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450,457</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pPr>
            <w:r>
              <w:rPr/>
              <w:t>—</w:t>
            </w:r>
          </w:p>
        </w:tc>
      </w:tr>
      <w:tr>
        <w:trPr/>
        <w:tc>
          <w:tcPr>
            <w:tcW w:w="162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Commercial Lending</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727,396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1,206,497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809,070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626,655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1,072,780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2,352,378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1,473,724</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36,735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8,305,235</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56" w:type="dxa"/>
            <w:tcBorders/>
            <w:shd w:fill="CCEEFF" w:val="cle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3,394</w:t>
            </w:r>
          </w:p>
        </w:tc>
      </w:tr>
    </w:tbl>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362"/>
        <w:gridCol w:w="109"/>
        <w:gridCol w:w="181"/>
        <w:gridCol w:w="691"/>
        <w:gridCol w:w="109"/>
        <w:gridCol w:w="181"/>
        <w:gridCol w:w="691"/>
        <w:gridCol w:w="109"/>
        <w:gridCol w:w="181"/>
        <w:gridCol w:w="691"/>
        <w:gridCol w:w="109"/>
        <w:gridCol w:w="181"/>
        <w:gridCol w:w="586"/>
        <w:gridCol w:w="109"/>
        <w:gridCol w:w="181"/>
        <w:gridCol w:w="691"/>
        <w:gridCol w:w="109"/>
        <w:gridCol w:w="181"/>
        <w:gridCol w:w="691"/>
        <w:gridCol w:w="109"/>
        <w:gridCol w:w="181"/>
        <w:gridCol w:w="691"/>
        <w:gridCol w:w="109"/>
        <w:gridCol w:w="226"/>
        <w:gridCol w:w="645"/>
        <w:gridCol w:w="109"/>
        <w:gridCol w:w="181"/>
        <w:gridCol w:w="811"/>
      </w:tblGrid>
      <w:tr>
        <w:trPr/>
        <w:tc>
          <w:tcPr>
            <w:tcW w:w="1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64870" cy="175260"/>
                      <wp:effectExtent l="0" t="0" r="0" b="0"/>
                      <wp:wrapNone/>
                      <wp:docPr id="208" name="Frame207"/>
                      <a:graphic xmlns:a="http://schemas.openxmlformats.org/drawingml/2006/main">
                        <a:graphicData uri="http://schemas.microsoft.com/office/word/2010/wordprocessingShape">
                          <wps:wsp>
                            <wps:cNvSpPr txBox="1"/>
                            <wps:spPr>
                              <a:xfrm>
                                <a:off x="0" y="0"/>
                                <a:ext cx="864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14935" cy="175260"/>
                      <wp:effectExtent l="0" t="0" r="0" b="0"/>
                      <wp:wrapNone/>
                      <wp:docPr id="210" name="Frame2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4935" cy="175260"/>
                      <wp:effectExtent l="0" t="0" r="0" b="0"/>
                      <wp:wrapNone/>
                      <wp:docPr id="213" name="Frame2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38785" cy="175260"/>
                      <wp:effectExtent l="0" t="0" r="0" b="0"/>
                      <wp:wrapNone/>
                      <wp:docPr id="214" name="Frame2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14935" cy="175260"/>
                      <wp:effectExtent l="0" t="0" r="0" b="0"/>
                      <wp:wrapNone/>
                      <wp:docPr id="216" name="Frame2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38785" cy="175260"/>
                      <wp:effectExtent l="0" t="0" r="0" b="0"/>
                      <wp:wrapNone/>
                      <wp:docPr id="217" name="Frame2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14935" cy="175260"/>
                      <wp:effectExtent l="0" t="0" r="0" b="0"/>
                      <wp:wrapNone/>
                      <wp:docPr id="219" name="Frame2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72110" cy="175260"/>
                      <wp:effectExtent l="0" t="0" r="0" b="0"/>
                      <wp:wrapNone/>
                      <wp:docPr id="220" name="Frame21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14935" cy="175260"/>
                      <wp:effectExtent l="0" t="0" r="0" b="0"/>
                      <wp:wrapNone/>
                      <wp:docPr id="222" name="Frame2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38785" cy="175260"/>
                      <wp:effectExtent l="0" t="0" r="0" b="0"/>
                      <wp:wrapNone/>
                      <wp:docPr id="223" name="Frame2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14935" cy="175260"/>
                      <wp:effectExtent l="0" t="0" r="0" b="0"/>
                      <wp:wrapNone/>
                      <wp:docPr id="225" name="Frame22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38785" cy="175260"/>
                      <wp:effectExtent l="0" t="0" r="0" b="0"/>
                      <wp:wrapNone/>
                      <wp:docPr id="226" name="Frame2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14935" cy="175260"/>
                      <wp:effectExtent l="0" t="0" r="0" b="0"/>
                      <wp:wrapNone/>
                      <wp:docPr id="228" name="Frame2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38785" cy="175260"/>
                      <wp:effectExtent l="0" t="0" r="0" b="0"/>
                      <wp:wrapNone/>
                      <wp:docPr id="229" name="Frame2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43510" cy="175260"/>
                      <wp:effectExtent l="0" t="0" r="0" b="0"/>
                      <wp:wrapNone/>
                      <wp:docPr id="231" name="Frame2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09575" cy="175260"/>
                      <wp:effectExtent l="0" t="0" r="0" b="0"/>
                      <wp:wrapNone/>
                      <wp:docPr id="232" name="Frame231"/>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14935" cy="175260"/>
                      <wp:effectExtent l="0" t="0" r="0" b="0"/>
                      <wp:wrapNone/>
                      <wp:docPr id="234" name="Frame2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14985" cy="175260"/>
                      <wp:effectExtent l="0" t="0" r="0" b="0"/>
                      <wp:wrapNone/>
                      <wp:docPr id="235" name="Frame23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72"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Loans</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Term</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7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 Basis by Origination Year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(continued)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Residential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118,185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192,744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132,076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163,841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426,056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2,240,745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3,273,647</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13,300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21,120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19,686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27,538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62,622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267,910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412,176</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6,310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3,842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5,882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4,488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28,030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68,426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116,978</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2,487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1,251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22,325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30,669</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1,143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3,504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14,639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19,286</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3,098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15,334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49,997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87,118</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2,645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22,254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7,104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11,039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13,174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40,616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7,501</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104,333</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Mortgage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147,612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249,211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169,799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214,053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551,373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2,704,658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7,501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4,044,207</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13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Home Equity Line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938,399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938,742</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171,860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1,294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173,154</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42,343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43,128</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13,793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14,417</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11,162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11,192</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763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763</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Home Equity Line</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1,178,320</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3,076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1,181,396</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Residential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147,612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249,211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169,799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214,053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551,373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2,704,658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1,185,821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3,076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5,225,603</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r>
      <w:tr>
        <w:trPr/>
        <w:tc>
          <w:tcPr>
            <w:tcW w:w="13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Lending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60,328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93,986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54,390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34,205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35,359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12,947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99,798</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391,069</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49,967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75,396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37,212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20,373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17,060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85,511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293,572</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30,116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38,437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16,008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9,023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9,299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4,877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51,080</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896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159,736</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6,036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12,294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8,393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5,766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5,734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3,529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17,345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59,942</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1,239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5,754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4,578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2,826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2,807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1,750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5,927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25,418</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2,691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35,963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39,192</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3,921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71,925</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77,532</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Consumer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150,578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230,120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120,585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72,215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70,259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32,100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367,549</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3,055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1,046,461</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1,147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827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4,447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10,334</w:t>
            </w:r>
          </w:p>
        </w:tc>
      </w:tr>
      <w:tr>
        <w:trPr/>
        <w:tc>
          <w:tcPr>
            <w:tcW w:w="13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and Leases</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1,025,586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1,685,828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1,099,454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912,923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1,694,412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5,089,136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3,027,094</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42,866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14,577,299</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1,193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827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2,654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6,332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shd w:fill="CCEEFF" w:val="cle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13,751</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Other credit quality indicators used for monitoring purposes are primarily FICO scores. The majority of the loans in this population were originated to borrowers with a prime FICO score (680 and above). As of June 30, 2026, the majority of the loans in this population were current.</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Other credit quality indicators used for monitoring purposes are primarily internal risk ratings. The majority of the loans in this population were graded with a “Pass” rating. As of June 30, 2026, the majority of the loans in this population were current.</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No FICO scores are primarily related to loans and leases extended to non-residents. Loans and leases of this nature are primarily secured by collateral and/or are closely monitored for performance.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457" w:type="dxa"/>
        <w:jc w:val="left"/>
        <w:tblInd w:w="0" w:type="dxa"/>
        <w:tblLayout w:type="fixed"/>
        <w:tblCellMar>
          <w:top w:w="0" w:type="dxa"/>
          <w:left w:w="0" w:type="dxa"/>
          <w:bottom w:w="0" w:type="dxa"/>
          <w:right w:w="0" w:type="dxa"/>
        </w:tblCellMar>
      </w:tblPr>
      <w:tblGrid>
        <w:gridCol w:w="2761"/>
        <w:gridCol w:w="346"/>
        <w:gridCol w:w="196"/>
        <w:gridCol w:w="916"/>
        <w:gridCol w:w="361"/>
        <w:gridCol w:w="196"/>
        <w:gridCol w:w="916"/>
        <w:gridCol w:w="346"/>
        <w:gridCol w:w="196"/>
        <w:gridCol w:w="916"/>
        <w:gridCol w:w="346"/>
        <w:gridCol w:w="196"/>
        <w:gridCol w:w="916"/>
        <w:gridCol w:w="361"/>
        <w:gridCol w:w="196"/>
        <w:gridCol w:w="916"/>
        <w:gridCol w:w="37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753235" cy="175260"/>
                      <wp:effectExtent l="0" t="0" r="0" b="0"/>
                      <wp:wrapNone/>
                      <wp:docPr id="236" name="Frame235"/>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4460" cy="175260"/>
                      <wp:effectExtent l="0" t="0" r="0" b="0"/>
                      <wp:wrapNone/>
                      <wp:docPr id="238" name="Frame2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81660" cy="175260"/>
                      <wp:effectExtent l="0" t="0" r="0" b="0"/>
                      <wp:wrapNone/>
                      <wp:docPr id="239" name="Frame23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29235" cy="175260"/>
                      <wp:effectExtent l="0" t="0" r="0" b="0"/>
                      <wp:wrapNone/>
                      <wp:docPr id="240" name="Frame2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81660" cy="175260"/>
                      <wp:effectExtent l="0" t="0" r="0" b="0"/>
                      <wp:wrapNone/>
                      <wp:docPr id="242" name="Frame24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4" name="Frame2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81660" cy="175260"/>
                      <wp:effectExtent l="0" t="0" r="0" b="0"/>
                      <wp:wrapNone/>
                      <wp:docPr id="245" name="Frame24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81660" cy="175260"/>
                      <wp:effectExtent l="0" t="0" r="0" b="0"/>
                      <wp:wrapNone/>
                      <wp:docPr id="248" name="Frame2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29235" cy="175260"/>
                      <wp:effectExtent l="0" t="0" r="0" b="0"/>
                      <wp:wrapNone/>
                      <wp:docPr id="249" name="Frame2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81660" cy="175260"/>
                      <wp:effectExtent l="0" t="0" r="0" b="0"/>
                      <wp:wrapNone/>
                      <wp:docPr id="251" name="Frame25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38760" cy="175260"/>
                      <wp:effectExtent l="0" t="0" r="0" b="0"/>
                      <wp:wrapNone/>
                      <wp:docPr id="252" name="Frame25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GAAP to Non-GAAP Reconciliation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0" w:type="dxa"/>
            <w:gridSpan w:val="15"/>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14</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5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xml:space="preserve">  ​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xml:space="preserve">  ​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Statement Data: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73,375</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141,159</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132,495</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2,796,857</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2,788,826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2,663,850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2,792,863</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2,652,975</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average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tangible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1,801,365</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1,793,334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1,668,358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1,797,371</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1,657,483</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23,954,425</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24,083,280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23,859,410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24,018,496</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23,874,849</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average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22,958,933</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23,087,788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22,863,918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23,023,004</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22,879,357</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total stockholders' equity</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10.52</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10.19</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tangible stockholders' equity (non-GAAP)</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16.34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16.12</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total assets</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tangible assets (non-GAAP)</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1.28</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12"/>
        <w:gridCol w:w="346"/>
        <w:gridCol w:w="196"/>
        <w:gridCol w:w="1006"/>
        <w:gridCol w:w="361"/>
        <w:gridCol w:w="196"/>
        <w:gridCol w:w="1006"/>
        <w:gridCol w:w="346"/>
        <w:gridCol w:w="196"/>
        <w:gridCol w:w="1006"/>
        <w:gridCol w:w="346"/>
        <w:gridCol w:w="196"/>
        <w:gridCol w:w="1006"/>
        <w:gridCol w:w="286"/>
      </w:tblGrid>
      <w:tr>
        <w:trPr/>
        <w:tc>
          <w:tcPr>
            <w:tcW w:w="3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357120" cy="175260"/>
                      <wp:effectExtent l="0" t="0" r="0" b="0"/>
                      <wp:wrapNone/>
                      <wp:docPr id="253" name="Frame252"/>
                      <a:graphic xmlns:a="http://schemas.openxmlformats.org/drawingml/2006/main">
                        <a:graphicData uri="http://schemas.microsoft.com/office/word/2010/wordprocessingShape">
                          <wps:wsp>
                            <wps:cNvSpPr txBox="1"/>
                            <wps:spPr>
                              <a:xfrm>
                                <a:off x="0" y="0"/>
                                <a:ext cx="2357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4460" cy="175260"/>
                      <wp:effectExtent l="0" t="0" r="0" b="0"/>
                      <wp:wrapNone/>
                      <wp:docPr id="255" name="Frame2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38810" cy="175260"/>
                      <wp:effectExtent l="0" t="0" r="0" b="0"/>
                      <wp:wrapNone/>
                      <wp:docPr id="256" name="Frame25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29235" cy="175260"/>
                      <wp:effectExtent l="0" t="0" r="0" b="0"/>
                      <wp:wrapNone/>
                      <wp:docPr id="257" name="Frame2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4460" cy="175260"/>
                      <wp:effectExtent l="0" t="0" r="0" b="0"/>
                      <wp:wrapNone/>
                      <wp:docPr id="258" name="Frame2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38810" cy="175260"/>
                      <wp:effectExtent l="0" t="0" r="0" b="0"/>
                      <wp:wrapNone/>
                      <wp:docPr id="259" name="Frame25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4460" cy="175260"/>
                      <wp:effectExtent l="0" t="0" r="0" b="0"/>
                      <wp:wrapNone/>
                      <wp:docPr id="261" name="Frame2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38810" cy="175260"/>
                      <wp:effectExtent l="0" t="0" r="0" b="0"/>
                      <wp:wrapNone/>
                      <wp:docPr id="262" name="Frame26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38810" cy="175260"/>
                      <wp:effectExtent l="0" t="0" r="0" b="0"/>
                      <wp:wrapNone/>
                      <wp:docPr id="265" name="Frame26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81610" cy="175260"/>
                      <wp:effectExtent l="0" t="0" r="0" b="0"/>
                      <wp:wrapNone/>
                      <wp:docPr id="266" name="Frame26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548" w:type="dxa"/>
            <w:gridSpan w:val="3"/>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61"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amounts)</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Data: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2,826,028</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2,767,760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2,769,365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2,694,545</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Tangible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1,830,536</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1,772,268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1,773,873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1,699,053</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23,646,049</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24,264,548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23,955,252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23,837,147</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22,650,557</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23,269,056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22,959,760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22,841,655</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outstanding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121,680,634</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121,648,973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122,689,256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124,683,544</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 to 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11.95</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Tangible stockholders' equity to tangible assets (non-GAAP)</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Book value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23.22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21.61</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Tangible book value per share (non-GAAP)</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15.04</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w:t>
            </w:r>
          </w:p>
        </w:tc>
        <w:tc>
          <w:tcPr>
            <w:tcW w:w="286"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9340" w:type="dxa"/>
        <w:jc w:val="left"/>
        <w:tblInd w:w="0" w:type="dxa"/>
        <w:tblLayout w:type="fixed"/>
        <w:tblCellMar>
          <w:top w:w="0" w:type="dxa"/>
          <w:left w:w="0" w:type="dxa"/>
          <w:bottom w:w="0" w:type="dxa"/>
          <w:right w:w="0" w:type="dxa"/>
        </w:tblCellMar>
      </w:tblPr>
      <w:tblGrid>
        <w:gridCol w:w="185"/>
        <w:gridCol w:w="9155"/>
      </w:tblGrid>
      <w:tr>
        <w:trPr/>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Annualized for the three and six months ended June 30, 2026 and 2025 and three months ended March 31, 2026.</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6792</Words>
  <Characters>37058</Characters>
  <CharactersWithSpaces>48009</CharactersWithSpaces>
  <Paragraphs>9740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